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60611">
      <w:pPr>
        <w:adjustRightInd w:val="0"/>
        <w:snapToGrid w:val="0"/>
        <w:spacing w:line="240" w:lineRule="atLeast"/>
        <w:rPr>
          <w:rFonts w:ascii="黑体" w:hAnsi="黑体" w:eastAsia="黑体" w:cs="黑体"/>
          <w:sz w:val="20"/>
          <w:szCs w:val="20"/>
        </w:rPr>
      </w:pPr>
      <w:r>
        <w:rPr>
          <w:rFonts w:ascii="Times New Roman" w:hAnsi="Times New Roman" w:eastAsia="黑体" w:cs="Times New Roman"/>
          <w:sz w:val="20"/>
          <w:szCs w:val="20"/>
        </w:rPr>
        <w:t>ICS</w:t>
      </w:r>
      <w:r>
        <w:rPr>
          <w:rFonts w:hint="eastAsia" w:ascii="黑体" w:hAnsi="黑体" w:eastAsia="黑体" w:cs="黑体"/>
          <w:sz w:val="20"/>
          <w:szCs w:val="20"/>
        </w:rPr>
        <w:t xml:space="preserve"> 67.080.10</w:t>
      </w:r>
    </w:p>
    <w:p w14:paraId="43A94687">
      <w:pPr>
        <w:adjustRightInd w:val="0"/>
        <w:snapToGrid w:val="0"/>
        <w:spacing w:line="240" w:lineRule="atLeast"/>
        <w:rPr>
          <w:rFonts w:ascii="黑体" w:hAnsi="黑体" w:eastAsia="黑体" w:cs="黑体"/>
          <w:sz w:val="20"/>
          <w:szCs w:val="20"/>
        </w:rPr>
      </w:pPr>
      <w:r>
        <w:rPr>
          <w:rFonts w:hint="eastAsia" w:ascii="黑体" w:hAnsi="黑体" w:eastAsia="黑体" w:cs="黑体"/>
          <w:sz w:val="20"/>
          <w:szCs w:val="20"/>
        </w:rPr>
        <w:t>B 31</w:t>
      </w:r>
    </w:p>
    <w:p w14:paraId="33B49270">
      <w:pPr>
        <w:adjustRightInd w:val="0"/>
        <w:snapToGrid w:val="0"/>
        <w:spacing w:line="240" w:lineRule="atLeast"/>
        <w:jc w:val="right"/>
        <w:rPr>
          <w:rFonts w:ascii="Times New Roman" w:hAnsi="Times New Roman" w:eastAsia="黑体" w:cs="Times New Roman"/>
          <w:b/>
          <w:bCs/>
          <w:sz w:val="96"/>
          <w:szCs w:val="96"/>
        </w:rPr>
      </w:pPr>
      <w:r>
        <w:rPr>
          <w:rFonts w:ascii="Times New Roman" w:hAnsi="Times New Roman" w:eastAsia="黑体" w:cs="Times New Roman"/>
          <w:b/>
          <w:bCs/>
          <w:sz w:val="96"/>
          <w:szCs w:val="96"/>
        </w:rPr>
        <w:t>T/SZNB</w:t>
      </w:r>
    </w:p>
    <w:p w14:paraId="13142D36">
      <w:pPr>
        <w:adjustRightInd w:val="0"/>
        <w:snapToGrid w:val="0"/>
        <w:spacing w:line="240" w:lineRule="atLeast"/>
        <w:jc w:val="distribute"/>
        <w:rPr>
          <w:rFonts w:ascii="Times New Roman" w:hAnsi="Times New Roman" w:eastAsia="黑体" w:cs="Times New Roman"/>
          <w:b/>
          <w:bCs/>
          <w:sz w:val="72"/>
          <w:szCs w:val="72"/>
        </w:rPr>
      </w:pPr>
      <w:r>
        <w:rPr>
          <w:rFonts w:hint="eastAsia" w:ascii="Times New Roman" w:hAnsi="Times New Roman" w:eastAsia="黑体" w:cs="Times New Roman"/>
          <w:b/>
          <w:bCs/>
          <w:sz w:val="72"/>
          <w:szCs w:val="72"/>
        </w:rPr>
        <w:t>团体标准</w:t>
      </w:r>
    </w:p>
    <w:p w14:paraId="1D5F74A7">
      <w:pPr>
        <w:wordWrap w:val="0"/>
        <w:adjustRightInd w:val="0"/>
        <w:snapToGrid w:val="0"/>
        <w:spacing w:line="240" w:lineRule="atLeast"/>
        <w:jc w:val="right"/>
        <w:rPr>
          <w:rFonts w:ascii="Times New Roman" w:hAnsi="Times New Roman" w:eastAsia="黑体" w:cs="Times New Roman"/>
          <w:b/>
          <w:bCs/>
          <w:sz w:val="28"/>
          <w:szCs w:val="28"/>
        </w:rPr>
      </w:pPr>
    </w:p>
    <w:p w14:paraId="101D7C13">
      <w:pPr>
        <w:wordWrap w:val="0"/>
        <w:adjustRightInd w:val="0"/>
        <w:snapToGrid w:val="0"/>
        <w:spacing w:line="240" w:lineRule="atLeast"/>
        <w:jc w:val="right"/>
        <w:rPr>
          <w:rFonts w:hint="default" w:ascii="Times New Roman" w:hAnsi="Times New Roman" w:eastAsia="黑体" w:cs="Times New Roman"/>
          <w:b/>
          <w:bCs/>
          <w:sz w:val="28"/>
          <w:szCs w:val="28"/>
          <w:lang w:val="en-US" w:eastAsia="zh-CN"/>
        </w:rPr>
      </w:pPr>
      <w:r>
        <w:rPr>
          <w:rFonts w:hint="eastAsia" w:ascii="Times New Roman" w:hAnsi="Times New Roman" w:eastAsia="黑体" w:cs="Times New Roman"/>
          <w:sz w:val="28"/>
          <w:szCs w:val="28"/>
        </w:rPr>
        <w:t>T/SZNB XXX-20</w:t>
      </w:r>
      <w:r>
        <w:rPr>
          <w:rFonts w:hint="eastAsia" w:ascii="Times New Roman" w:hAnsi="Times New Roman" w:eastAsia="黑体" w:cs="Times New Roman"/>
          <w:sz w:val="28"/>
          <w:szCs w:val="28"/>
          <w:lang w:val="en-US" w:eastAsia="zh-CN"/>
        </w:rPr>
        <w:t>XX</w:t>
      </w:r>
    </w:p>
    <w:p w14:paraId="0839DC0F">
      <w:pPr>
        <w:adjustRightInd w:val="0"/>
        <w:snapToGrid w:val="0"/>
        <w:spacing w:line="240" w:lineRule="atLeast"/>
        <w:jc w:val="left"/>
        <w:rPr>
          <w:rFonts w:ascii="Times New Roman" w:hAnsi="Times New Roman" w:eastAsia="黑体" w:cs="Times New Roman"/>
          <w:b/>
          <w:bCs/>
          <w:sz w:val="28"/>
          <w:szCs w:val="28"/>
        </w:rPr>
      </w:pPr>
      <w:r>
        <w:rPr>
          <w:rFonts w:hint="eastAsia" w:ascii="Times New Roman" w:hAnsi="Times New Roman" w:eastAsia="黑体" w:cs="Times New Roman"/>
          <w:b/>
          <w:bCs/>
          <w:sz w:val="28"/>
          <w:szCs w:val="28"/>
          <w:u w:val="single"/>
        </w:rPr>
        <w:t xml:space="preserve">                                                                      </w:t>
      </w:r>
    </w:p>
    <w:p w14:paraId="1D23FE3E">
      <w:pPr>
        <w:adjustRightInd w:val="0"/>
        <w:snapToGrid w:val="0"/>
        <w:spacing w:line="240" w:lineRule="atLeast"/>
        <w:jc w:val="left"/>
        <w:rPr>
          <w:rFonts w:ascii="Times New Roman" w:hAnsi="Times New Roman" w:eastAsia="黑体" w:cs="Times New Roman"/>
          <w:b/>
          <w:bCs/>
          <w:sz w:val="28"/>
          <w:szCs w:val="28"/>
        </w:rPr>
      </w:pPr>
    </w:p>
    <w:p w14:paraId="60D959BF">
      <w:pPr>
        <w:adjustRightInd w:val="0"/>
        <w:snapToGrid w:val="0"/>
        <w:spacing w:line="240" w:lineRule="atLeast"/>
        <w:jc w:val="left"/>
        <w:rPr>
          <w:rFonts w:ascii="Times New Roman" w:hAnsi="Times New Roman" w:eastAsia="黑体" w:cs="Times New Roman"/>
          <w:b/>
          <w:bCs/>
          <w:sz w:val="28"/>
          <w:szCs w:val="28"/>
        </w:rPr>
      </w:pPr>
    </w:p>
    <w:p w14:paraId="6C946F11">
      <w:pPr>
        <w:adjustRightInd w:val="0"/>
        <w:snapToGrid w:val="0"/>
        <w:spacing w:line="240" w:lineRule="atLeast"/>
        <w:jc w:val="left"/>
        <w:rPr>
          <w:rFonts w:ascii="Times New Roman" w:hAnsi="Times New Roman" w:eastAsia="黑体" w:cs="Times New Roman"/>
          <w:b/>
          <w:bCs/>
          <w:sz w:val="28"/>
          <w:szCs w:val="28"/>
        </w:rPr>
      </w:pPr>
    </w:p>
    <w:p w14:paraId="6BA06CD2">
      <w:pPr>
        <w:adjustRightInd w:val="0"/>
        <w:snapToGrid w:val="0"/>
        <w:spacing w:line="240" w:lineRule="atLeast"/>
        <w:jc w:val="left"/>
        <w:rPr>
          <w:rFonts w:ascii="Times New Roman" w:hAnsi="Times New Roman" w:eastAsia="黑体" w:cs="Times New Roman"/>
          <w:b/>
          <w:bCs/>
          <w:sz w:val="28"/>
          <w:szCs w:val="28"/>
        </w:rPr>
      </w:pPr>
    </w:p>
    <w:p w14:paraId="57D9D57D">
      <w:pPr>
        <w:adjustRightInd w:val="0"/>
        <w:snapToGrid w:val="0"/>
        <w:spacing w:line="240" w:lineRule="atLeast"/>
        <w:jc w:val="left"/>
        <w:rPr>
          <w:rFonts w:ascii="Times New Roman" w:hAnsi="Times New Roman" w:eastAsia="黑体" w:cs="Times New Roman"/>
          <w:b/>
          <w:bCs/>
          <w:sz w:val="28"/>
          <w:szCs w:val="28"/>
        </w:rPr>
      </w:pPr>
    </w:p>
    <w:p w14:paraId="0513405E">
      <w:pPr>
        <w:adjustRightInd w:val="0"/>
        <w:snapToGrid w:val="0"/>
        <w:spacing w:line="240" w:lineRule="atLeast"/>
        <w:jc w:val="left"/>
        <w:rPr>
          <w:rFonts w:ascii="Times New Roman" w:hAnsi="Times New Roman" w:eastAsia="黑体" w:cs="Times New Roman"/>
          <w:b/>
          <w:bCs/>
          <w:sz w:val="28"/>
          <w:szCs w:val="28"/>
        </w:rPr>
      </w:pPr>
    </w:p>
    <w:p w14:paraId="6C48CC65">
      <w:pPr>
        <w:adjustRightInd w:val="0"/>
        <w:snapToGrid w:val="0"/>
        <w:spacing w:line="240" w:lineRule="atLeast"/>
        <w:jc w:val="left"/>
        <w:rPr>
          <w:rFonts w:ascii="Times New Roman" w:hAnsi="Times New Roman" w:eastAsia="黑体" w:cs="Times New Roman"/>
          <w:b/>
          <w:bCs/>
          <w:sz w:val="28"/>
          <w:szCs w:val="28"/>
        </w:rPr>
      </w:pPr>
    </w:p>
    <w:p w14:paraId="082DCF33">
      <w:pPr>
        <w:adjustRightInd w:val="0"/>
        <w:snapToGrid w:val="0"/>
        <w:spacing w:line="240" w:lineRule="atLeast"/>
        <w:jc w:val="left"/>
        <w:rPr>
          <w:rFonts w:ascii="Times New Roman" w:hAnsi="Times New Roman" w:eastAsia="黑体" w:cs="Times New Roman"/>
          <w:b/>
          <w:bCs/>
          <w:sz w:val="28"/>
          <w:szCs w:val="28"/>
        </w:rPr>
      </w:pPr>
    </w:p>
    <w:p w14:paraId="6E77DA9B">
      <w:pPr>
        <w:adjustRightInd w:val="0"/>
        <w:snapToGrid w:val="0"/>
        <w:spacing w:line="240" w:lineRule="atLeast"/>
        <w:jc w:val="left"/>
        <w:rPr>
          <w:rFonts w:ascii="Times New Roman" w:hAnsi="Times New Roman" w:eastAsia="黑体" w:cs="Times New Roman"/>
          <w:b/>
          <w:bCs/>
          <w:sz w:val="28"/>
          <w:szCs w:val="28"/>
        </w:rPr>
      </w:pPr>
    </w:p>
    <w:p w14:paraId="2905F632">
      <w:pPr>
        <w:adjustRightInd w:val="0"/>
        <w:snapToGrid w:val="0"/>
        <w:jc w:val="center"/>
        <w:rPr>
          <w:rFonts w:hint="default" w:ascii="Times New Roman" w:hAnsi="Times New Roman" w:eastAsia="黑体" w:cs="Times New Roman"/>
          <w:sz w:val="52"/>
          <w:szCs w:val="52"/>
          <w:lang w:val="en-US" w:eastAsia="zh-CN"/>
        </w:rPr>
      </w:pPr>
      <w:r>
        <w:rPr>
          <w:rFonts w:hint="eastAsia" w:ascii="Times New Roman" w:hAnsi="Times New Roman" w:eastAsia="黑体" w:cs="Times New Roman"/>
          <w:sz w:val="52"/>
          <w:szCs w:val="52"/>
        </w:rPr>
        <w:t xml:space="preserve">水果分级标准  </w:t>
      </w:r>
      <w:r>
        <w:rPr>
          <w:rFonts w:hint="eastAsia" w:ascii="Times New Roman" w:hAnsi="Times New Roman" w:eastAsia="黑体" w:cs="Times New Roman"/>
          <w:sz w:val="52"/>
          <w:szCs w:val="52"/>
          <w:lang w:val="en-US" w:eastAsia="zh-CN"/>
        </w:rPr>
        <w:t>赣南脐橙</w:t>
      </w:r>
    </w:p>
    <w:p w14:paraId="60977B75">
      <w:pPr>
        <w:adjustRightInd w:val="0"/>
        <w:snapToGrid w:val="0"/>
        <w:jc w:val="center"/>
        <w:outlineLvl w:val="0"/>
        <w:rPr>
          <w:rFonts w:hint="default" w:ascii="Times New Roman" w:hAnsi="Times New Roman" w:eastAsia="黑体" w:cs="Times New Roman"/>
          <w:sz w:val="44"/>
          <w:szCs w:val="44"/>
          <w:lang w:val="en-US" w:eastAsia="zh-CN"/>
        </w:rPr>
      </w:pPr>
      <w:bookmarkStart w:id="0" w:name="_Toc22473"/>
      <w:bookmarkStart w:id="1" w:name="_Toc14538"/>
      <w:bookmarkStart w:id="2" w:name="_Toc25359"/>
      <w:bookmarkStart w:id="3" w:name="_Toc30500"/>
      <w:bookmarkStart w:id="4" w:name="_Toc25339"/>
      <w:r>
        <w:rPr>
          <w:rFonts w:hint="eastAsia" w:ascii="Times New Roman" w:hAnsi="Times New Roman" w:eastAsia="黑体" w:cs="Times New Roman"/>
          <w:sz w:val="44"/>
          <w:szCs w:val="44"/>
        </w:rPr>
        <w:t xml:space="preserve">Fruit grading standard  </w:t>
      </w:r>
      <w:bookmarkEnd w:id="0"/>
      <w:bookmarkEnd w:id="1"/>
      <w:bookmarkEnd w:id="2"/>
      <w:bookmarkEnd w:id="3"/>
      <w:bookmarkEnd w:id="4"/>
      <w:r>
        <w:rPr>
          <w:rFonts w:hint="eastAsia" w:ascii="Times New Roman" w:hAnsi="Times New Roman" w:eastAsia="黑体" w:cs="Times New Roman"/>
          <w:sz w:val="44"/>
          <w:szCs w:val="44"/>
          <w:lang w:val="en-US" w:eastAsia="zh-CN"/>
        </w:rPr>
        <w:t>Gannan navel orange</w:t>
      </w:r>
    </w:p>
    <w:p w14:paraId="250DB6E9">
      <w:pPr>
        <w:adjustRightInd w:val="0"/>
        <w:snapToGrid w:val="0"/>
        <w:jc w:val="center"/>
        <w:outlineLvl w:val="0"/>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w:t>
      </w:r>
      <w:r>
        <w:rPr>
          <w:rFonts w:hint="eastAsia" w:ascii="Times New Roman" w:hAnsi="Times New Roman" w:eastAsia="黑体" w:cs="Times New Roman"/>
          <w:sz w:val="44"/>
          <w:szCs w:val="44"/>
          <w:lang w:val="en-US" w:eastAsia="zh-CN"/>
        </w:rPr>
        <w:t>征求意见</w:t>
      </w:r>
      <w:bookmarkStart w:id="27" w:name="_GoBack"/>
      <w:bookmarkEnd w:id="27"/>
      <w:r>
        <w:rPr>
          <w:rFonts w:hint="eastAsia" w:ascii="Times New Roman" w:hAnsi="Times New Roman" w:eastAsia="黑体" w:cs="Times New Roman"/>
          <w:sz w:val="44"/>
          <w:szCs w:val="44"/>
          <w:lang w:eastAsia="zh-CN"/>
        </w:rPr>
        <w:t>稿）</w:t>
      </w:r>
    </w:p>
    <w:p w14:paraId="5DBE7980">
      <w:pPr>
        <w:jc w:val="left"/>
        <w:rPr>
          <w:rFonts w:ascii="Times New Roman" w:hAnsi="Times New Roman" w:eastAsia="黑体" w:cs="Times New Roman"/>
          <w:b/>
          <w:bCs/>
          <w:sz w:val="28"/>
          <w:szCs w:val="28"/>
        </w:rPr>
      </w:pPr>
    </w:p>
    <w:p w14:paraId="2F3241AB">
      <w:pPr>
        <w:jc w:val="left"/>
        <w:rPr>
          <w:rFonts w:ascii="Times New Roman" w:hAnsi="Times New Roman" w:eastAsia="黑体" w:cs="Times New Roman"/>
          <w:b/>
          <w:bCs/>
          <w:sz w:val="28"/>
          <w:szCs w:val="28"/>
        </w:rPr>
      </w:pPr>
    </w:p>
    <w:p w14:paraId="6B157D30">
      <w:pPr>
        <w:jc w:val="left"/>
        <w:rPr>
          <w:rFonts w:ascii="Times New Roman" w:hAnsi="Times New Roman" w:eastAsia="黑体" w:cs="Times New Roman"/>
          <w:b/>
          <w:bCs/>
          <w:sz w:val="28"/>
          <w:szCs w:val="28"/>
        </w:rPr>
      </w:pPr>
    </w:p>
    <w:p w14:paraId="5A3F6FC7">
      <w:pPr>
        <w:jc w:val="left"/>
        <w:rPr>
          <w:rFonts w:ascii="Times New Roman" w:hAnsi="Times New Roman" w:eastAsia="黑体" w:cs="Times New Roman"/>
          <w:b/>
          <w:bCs/>
          <w:sz w:val="28"/>
          <w:szCs w:val="28"/>
        </w:rPr>
      </w:pPr>
    </w:p>
    <w:p w14:paraId="119EAB4A">
      <w:pPr>
        <w:jc w:val="left"/>
        <w:rPr>
          <w:rFonts w:ascii="Times New Roman" w:hAnsi="Times New Roman" w:eastAsia="黑体" w:cs="Times New Roman"/>
          <w:b/>
          <w:bCs/>
          <w:sz w:val="28"/>
          <w:szCs w:val="28"/>
        </w:rPr>
      </w:pPr>
    </w:p>
    <w:p w14:paraId="648F1166">
      <w:pPr>
        <w:jc w:val="left"/>
        <w:rPr>
          <w:rFonts w:ascii="Times New Roman" w:hAnsi="Times New Roman" w:eastAsia="黑体" w:cs="Times New Roman"/>
          <w:sz w:val="28"/>
          <w:szCs w:val="28"/>
          <w:u w:val="single"/>
        </w:rPr>
      </w:pPr>
      <w:r>
        <w:rPr>
          <w:rFonts w:hint="eastAsia" w:ascii="Times New Roman" w:hAnsi="Times New Roman" w:eastAsia="黑体" w:cs="Times New Roman"/>
          <w:sz w:val="28"/>
          <w:szCs w:val="28"/>
          <w:u w:val="single"/>
        </w:rPr>
        <w:t>20</w:t>
      </w:r>
      <w:r>
        <w:rPr>
          <w:rFonts w:hint="eastAsia" w:ascii="Times New Roman" w:hAnsi="Times New Roman" w:eastAsia="黑体" w:cs="Times New Roman"/>
          <w:sz w:val="28"/>
          <w:szCs w:val="28"/>
          <w:u w:val="single"/>
          <w:lang w:val="en-US" w:eastAsia="zh-CN"/>
        </w:rPr>
        <w:t>XX</w:t>
      </w:r>
      <w:r>
        <w:rPr>
          <w:rFonts w:hint="eastAsia" w:ascii="Times New Roman" w:hAnsi="Times New Roman" w:eastAsia="黑体" w:cs="Times New Roman"/>
          <w:sz w:val="28"/>
          <w:szCs w:val="28"/>
          <w:u w:val="single"/>
        </w:rPr>
        <w:t>-</w:t>
      </w:r>
      <w:r>
        <w:rPr>
          <w:rFonts w:hint="eastAsia" w:ascii="Times New Roman" w:hAnsi="Times New Roman" w:eastAsia="黑体" w:cs="Times New Roman"/>
          <w:sz w:val="28"/>
          <w:szCs w:val="28"/>
          <w:u w:val="single"/>
          <w:lang w:val="en-US" w:eastAsia="zh-CN"/>
        </w:rPr>
        <w:t>XX</w:t>
      </w:r>
      <w:r>
        <w:rPr>
          <w:rFonts w:hint="eastAsia" w:ascii="Times New Roman" w:hAnsi="Times New Roman" w:eastAsia="黑体" w:cs="Times New Roman"/>
          <w:sz w:val="28"/>
          <w:szCs w:val="28"/>
          <w:u w:val="single"/>
        </w:rPr>
        <w:t>-</w:t>
      </w:r>
      <w:r>
        <w:rPr>
          <w:rFonts w:hint="eastAsia" w:ascii="Times New Roman" w:hAnsi="Times New Roman" w:eastAsia="黑体" w:cs="Times New Roman"/>
          <w:sz w:val="28"/>
          <w:szCs w:val="28"/>
          <w:u w:val="single"/>
          <w:lang w:val="en-US" w:eastAsia="zh-CN"/>
        </w:rPr>
        <w:t>XX</w:t>
      </w:r>
      <w:r>
        <w:rPr>
          <w:rFonts w:hint="eastAsia" w:ascii="Times New Roman" w:hAnsi="Times New Roman" w:eastAsia="黑体" w:cs="Times New Roman"/>
          <w:sz w:val="28"/>
          <w:szCs w:val="28"/>
          <w:u w:val="single"/>
        </w:rPr>
        <w:t>发布                                     20</w:t>
      </w:r>
      <w:r>
        <w:rPr>
          <w:rFonts w:hint="eastAsia" w:ascii="Times New Roman" w:hAnsi="Times New Roman" w:eastAsia="黑体" w:cs="Times New Roman"/>
          <w:sz w:val="28"/>
          <w:szCs w:val="28"/>
          <w:u w:val="single"/>
          <w:lang w:val="en-US" w:eastAsia="zh-CN"/>
        </w:rPr>
        <w:t>XX</w:t>
      </w:r>
      <w:r>
        <w:rPr>
          <w:rFonts w:hint="eastAsia" w:ascii="Times New Roman" w:hAnsi="Times New Roman" w:eastAsia="黑体" w:cs="Times New Roman"/>
          <w:sz w:val="28"/>
          <w:szCs w:val="28"/>
          <w:u w:val="single"/>
        </w:rPr>
        <w:t>-</w:t>
      </w:r>
      <w:r>
        <w:rPr>
          <w:rFonts w:hint="eastAsia" w:ascii="Times New Roman" w:hAnsi="Times New Roman" w:eastAsia="黑体" w:cs="Times New Roman"/>
          <w:sz w:val="28"/>
          <w:szCs w:val="28"/>
          <w:u w:val="single"/>
          <w:lang w:val="en-US" w:eastAsia="zh-CN"/>
        </w:rPr>
        <w:t>XX</w:t>
      </w:r>
      <w:r>
        <w:rPr>
          <w:rFonts w:hint="eastAsia" w:ascii="Times New Roman" w:hAnsi="Times New Roman" w:eastAsia="黑体" w:cs="Times New Roman"/>
          <w:sz w:val="28"/>
          <w:szCs w:val="28"/>
          <w:u w:val="single"/>
        </w:rPr>
        <w:t>-</w:t>
      </w:r>
      <w:r>
        <w:rPr>
          <w:rFonts w:hint="eastAsia" w:ascii="Times New Roman" w:hAnsi="Times New Roman" w:eastAsia="黑体" w:cs="Times New Roman"/>
          <w:sz w:val="28"/>
          <w:szCs w:val="28"/>
          <w:u w:val="single"/>
          <w:lang w:val="en-US" w:eastAsia="zh-CN"/>
        </w:rPr>
        <w:t>XX</w:t>
      </w:r>
      <w:r>
        <w:rPr>
          <w:rFonts w:hint="eastAsia" w:ascii="Times New Roman" w:hAnsi="Times New Roman" w:eastAsia="黑体" w:cs="Times New Roman"/>
          <w:sz w:val="28"/>
          <w:szCs w:val="28"/>
          <w:u w:val="single"/>
        </w:rPr>
        <w:t>实施</w:t>
      </w:r>
    </w:p>
    <w:p w14:paraId="60F0BFB7">
      <w:pPr>
        <w:jc w:val="left"/>
        <w:rPr>
          <w:rFonts w:ascii="Times New Roman" w:hAnsi="Times New Roman" w:eastAsia="黑体" w:cs="Times New Roman"/>
          <w:sz w:val="28"/>
          <w:szCs w:val="28"/>
        </w:rPr>
      </w:pPr>
    </w:p>
    <w:p w14:paraId="3572E5F2">
      <w:pPr>
        <w:jc w:val="center"/>
        <w:rPr>
          <w:rFonts w:ascii="Times New Roman" w:hAnsi="Times New Roman" w:eastAsia="黑体" w:cs="Times New Roman"/>
          <w:b/>
          <w:bCs/>
          <w:sz w:val="32"/>
          <w:szCs w:val="32"/>
        </w:rPr>
      </w:pPr>
      <w:r>
        <w:rPr>
          <w:rFonts w:hint="eastAsia" w:ascii="Times New Roman" w:hAnsi="Times New Roman" w:eastAsia="黑体" w:cs="Times New Roman"/>
          <w:sz w:val="32"/>
          <w:szCs w:val="32"/>
        </w:rPr>
        <w:t>深圳市农业产业化龙头企业协会     发布</w:t>
      </w:r>
      <w:r>
        <w:rPr>
          <w:rFonts w:hint="eastAsia" w:ascii="Times New Roman" w:hAnsi="Times New Roman" w:eastAsia="黑体" w:cs="Times New Roman"/>
          <w:b/>
          <w:bCs/>
          <w:sz w:val="32"/>
          <w:szCs w:val="32"/>
        </w:rPr>
        <w:t xml:space="preserve"> </w:t>
      </w:r>
    </w:p>
    <w:p w14:paraId="503AE010">
      <w:pPr>
        <w:jc w:val="right"/>
        <w:rPr>
          <w:rFonts w:ascii="Times New Roman" w:hAnsi="Times New Roman" w:eastAsia="黑体" w:cs="Times New Roman"/>
          <w:sz w:val="20"/>
          <w:szCs w:val="20"/>
        </w:rPr>
      </w:pPr>
    </w:p>
    <w:p w14:paraId="7FFFC508">
      <w:pPr>
        <w:jc w:val="right"/>
        <w:rPr>
          <w:rFonts w:ascii="黑体" w:hAnsi="黑体" w:eastAsia="黑体" w:cs="黑体"/>
          <w:sz w:val="20"/>
          <w:szCs w:val="20"/>
        </w:rPr>
        <w:sectPr>
          <w:headerReference r:id="rId3" w:type="first"/>
          <w:pgSz w:w="11906" w:h="16838"/>
          <w:pgMar w:top="1440" w:right="1080" w:bottom="1440" w:left="1080" w:header="851" w:footer="992" w:gutter="0"/>
          <w:pgNumType w:fmt="upperRoman"/>
          <w:cols w:space="425" w:num="1"/>
          <w:docGrid w:type="lines" w:linePitch="312" w:charSpace="0"/>
        </w:sectPr>
      </w:pPr>
    </w:p>
    <w:p w14:paraId="174AB113">
      <w:pPr>
        <w:rPr>
          <w:rFonts w:ascii="Times New Roman" w:hAnsi="Times New Roman" w:eastAsia="黑体"/>
          <w:sz w:val="20"/>
          <w:szCs w:val="20"/>
        </w:rPr>
      </w:pPr>
    </w:p>
    <w:p w14:paraId="79CFBA59">
      <w:pPr>
        <w:rPr>
          <w:rFonts w:ascii="Times New Roman" w:hAnsi="Times New Roman" w:eastAsia="黑体"/>
          <w:sz w:val="20"/>
          <w:szCs w:val="20"/>
        </w:rPr>
      </w:pPr>
    </w:p>
    <w:p w14:paraId="4BC4B30E">
      <w:pPr>
        <w:rPr>
          <w:rFonts w:ascii="Times New Roman" w:hAnsi="Times New Roman" w:eastAsia="黑体"/>
          <w:sz w:val="20"/>
          <w:szCs w:val="20"/>
        </w:rPr>
      </w:pPr>
    </w:p>
    <w:p w14:paraId="16A65018">
      <w:pPr>
        <w:jc w:val="center"/>
        <w:rPr>
          <w:rFonts w:ascii="Times New Roman" w:hAnsi="Times New Roman" w:eastAsia="黑体"/>
          <w:sz w:val="32"/>
          <w:szCs w:val="32"/>
        </w:rPr>
      </w:pPr>
      <w:r>
        <w:rPr>
          <w:rFonts w:hint="eastAsia" w:ascii="Times New Roman" w:hAnsi="Times New Roman" w:eastAsia="黑体"/>
          <w:sz w:val="32"/>
          <w:szCs w:val="32"/>
        </w:rPr>
        <w:t>目   录</w:t>
      </w:r>
    </w:p>
    <w:sdt>
      <w:sdtPr>
        <w:rPr>
          <w:rFonts w:ascii="宋体" w:hAnsi="宋体" w:eastAsia="宋体"/>
        </w:rPr>
        <w:id w:val="147479504"/>
        <w:docPartObj>
          <w:docPartGallery w:val="Table of Contents"/>
          <w:docPartUnique/>
        </w:docPartObj>
      </w:sdtPr>
      <w:sdtEndPr>
        <w:rPr>
          <w:rFonts w:hint="eastAsia" w:ascii="Times New Roman" w:hAnsi="Times New Roman" w:eastAsia="黑体"/>
          <w:szCs w:val="32"/>
        </w:rPr>
      </w:sdtEndPr>
      <w:sdtContent>
        <w:p w14:paraId="37A73036">
          <w:pPr>
            <w:jc w:val="left"/>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TOC \o "1-1" \h \u </w:instrText>
          </w:r>
          <w:r>
            <w:rPr>
              <w:rFonts w:hint="eastAsia" w:asciiTheme="minorEastAsia" w:hAnsiTheme="minorEastAsia" w:cstheme="minorEastAsia"/>
              <w:szCs w:val="21"/>
            </w:rPr>
            <w:fldChar w:fldCharType="separate"/>
          </w:r>
        </w:p>
        <w:p w14:paraId="087517FF">
          <w:pPr>
            <w:pStyle w:val="6"/>
            <w:tabs>
              <w:tab w:val="right" w:leader="dot" w:pos="9746"/>
            </w:tabs>
            <w:rPr>
              <w:rFonts w:asciiTheme="minorEastAsia" w:hAnsiTheme="minorEastAsia" w:cstheme="minorEastAsia"/>
              <w:sz w:val="20"/>
              <w:szCs w:val="20"/>
            </w:rPr>
          </w:pPr>
          <w:r>
            <w:fldChar w:fldCharType="begin"/>
          </w:r>
          <w:r>
            <w:instrText xml:space="preserve"> HYPERLINK \l "_Toc30152" </w:instrText>
          </w:r>
          <w:r>
            <w:fldChar w:fldCharType="separate"/>
          </w:r>
          <w:r>
            <w:rPr>
              <w:rFonts w:hint="eastAsia" w:asciiTheme="minorEastAsia" w:hAnsiTheme="minorEastAsia" w:cstheme="minorEastAsia"/>
              <w:sz w:val="20"/>
              <w:szCs w:val="20"/>
            </w:rPr>
            <w:t>前   言</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_Toc30152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II</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1FA12160">
          <w:pPr>
            <w:pStyle w:val="6"/>
            <w:tabs>
              <w:tab w:val="right" w:leader="dot" w:pos="9746"/>
            </w:tabs>
            <w:rPr>
              <w:rFonts w:asciiTheme="minorEastAsia" w:hAnsiTheme="minorEastAsia" w:cstheme="minorEastAsia"/>
              <w:sz w:val="20"/>
              <w:szCs w:val="20"/>
            </w:rPr>
          </w:pPr>
          <w:r>
            <w:fldChar w:fldCharType="begin"/>
          </w:r>
          <w:r>
            <w:instrText xml:space="preserve"> HYPERLINK \l "_Toc26003" </w:instrText>
          </w:r>
          <w:r>
            <w:fldChar w:fldCharType="separate"/>
          </w:r>
          <w:r>
            <w:rPr>
              <w:rFonts w:hint="eastAsia" w:asciiTheme="minorEastAsia" w:hAnsiTheme="minorEastAsia" w:cstheme="minorEastAsia"/>
              <w:sz w:val="20"/>
              <w:szCs w:val="20"/>
            </w:rPr>
            <w:t>1  范围</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_Toc26003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1</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38294A12">
          <w:pPr>
            <w:pStyle w:val="6"/>
            <w:tabs>
              <w:tab w:val="right" w:leader="dot" w:pos="9746"/>
            </w:tabs>
            <w:rPr>
              <w:rFonts w:asciiTheme="minorEastAsia" w:hAnsiTheme="minorEastAsia" w:cstheme="minorEastAsia"/>
              <w:sz w:val="20"/>
              <w:szCs w:val="20"/>
            </w:rPr>
          </w:pPr>
          <w:r>
            <w:fldChar w:fldCharType="begin"/>
          </w:r>
          <w:r>
            <w:instrText xml:space="preserve"> HYPERLINK \l "_Toc26062" </w:instrText>
          </w:r>
          <w:r>
            <w:fldChar w:fldCharType="separate"/>
          </w:r>
          <w:r>
            <w:rPr>
              <w:rFonts w:hint="eastAsia" w:asciiTheme="minorEastAsia" w:hAnsiTheme="minorEastAsia" w:cstheme="minorEastAsia"/>
              <w:sz w:val="20"/>
              <w:szCs w:val="20"/>
            </w:rPr>
            <w:t>2  规范性引用文件</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_Toc26062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1</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02CB7F59">
          <w:pPr>
            <w:pStyle w:val="6"/>
            <w:tabs>
              <w:tab w:val="right" w:leader="dot" w:pos="9746"/>
            </w:tabs>
            <w:rPr>
              <w:rFonts w:asciiTheme="minorEastAsia" w:hAnsiTheme="minorEastAsia" w:cstheme="minorEastAsia"/>
              <w:sz w:val="20"/>
              <w:szCs w:val="20"/>
            </w:rPr>
          </w:pPr>
          <w:r>
            <w:fldChar w:fldCharType="begin"/>
          </w:r>
          <w:r>
            <w:instrText xml:space="preserve"> HYPERLINK \l "_Toc12152" </w:instrText>
          </w:r>
          <w:r>
            <w:fldChar w:fldCharType="separate"/>
          </w:r>
          <w:r>
            <w:rPr>
              <w:rFonts w:hint="eastAsia" w:asciiTheme="minorEastAsia" w:hAnsiTheme="minorEastAsia" w:cstheme="minorEastAsia"/>
              <w:sz w:val="20"/>
              <w:szCs w:val="20"/>
            </w:rPr>
            <w:t>3  术语和定义</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_Toc12152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1</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7BAD744A">
          <w:pPr>
            <w:pStyle w:val="6"/>
            <w:tabs>
              <w:tab w:val="right" w:leader="dot" w:pos="9746"/>
            </w:tabs>
            <w:rPr>
              <w:rFonts w:asciiTheme="minorEastAsia" w:hAnsiTheme="minorEastAsia" w:cstheme="minorEastAsia"/>
              <w:sz w:val="20"/>
              <w:szCs w:val="20"/>
            </w:rPr>
          </w:pPr>
          <w:r>
            <w:fldChar w:fldCharType="begin"/>
          </w:r>
          <w:r>
            <w:instrText xml:space="preserve"> HYPERLINK \l "_Toc2010" </w:instrText>
          </w:r>
          <w:r>
            <w:fldChar w:fldCharType="separate"/>
          </w:r>
          <w:r>
            <w:rPr>
              <w:rFonts w:hint="eastAsia" w:asciiTheme="minorEastAsia" w:hAnsiTheme="minorEastAsia" w:cstheme="minorEastAsia"/>
              <w:sz w:val="20"/>
              <w:szCs w:val="20"/>
            </w:rPr>
            <w:t>4  分级要求</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_Toc2010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1</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37F2BF0F">
          <w:pPr>
            <w:pStyle w:val="6"/>
            <w:tabs>
              <w:tab w:val="right" w:leader="dot" w:pos="9746"/>
            </w:tabs>
            <w:rPr>
              <w:rFonts w:asciiTheme="minorEastAsia" w:hAnsiTheme="minorEastAsia" w:cstheme="minorEastAsia"/>
              <w:sz w:val="20"/>
              <w:szCs w:val="20"/>
            </w:rPr>
          </w:pPr>
          <w:r>
            <w:fldChar w:fldCharType="begin"/>
          </w:r>
          <w:r>
            <w:instrText xml:space="preserve"> HYPERLINK \l "_Toc25943" </w:instrText>
          </w:r>
          <w:r>
            <w:fldChar w:fldCharType="separate"/>
          </w:r>
          <w:r>
            <w:rPr>
              <w:rFonts w:hint="eastAsia" w:asciiTheme="minorEastAsia" w:hAnsiTheme="minorEastAsia" w:cstheme="minorEastAsia"/>
              <w:sz w:val="20"/>
              <w:szCs w:val="20"/>
            </w:rPr>
            <w:t xml:space="preserve">5  </w:t>
          </w:r>
          <w:r>
            <w:rPr>
              <w:rFonts w:hint="eastAsia" w:asciiTheme="minorEastAsia" w:hAnsiTheme="minorEastAsia" w:cstheme="minorEastAsia"/>
              <w:bCs/>
              <w:sz w:val="20"/>
              <w:szCs w:val="20"/>
            </w:rPr>
            <w:t>试验方法</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_Toc25943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2</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682F2DD1">
          <w:pPr>
            <w:pStyle w:val="6"/>
            <w:tabs>
              <w:tab w:val="right" w:leader="dot" w:pos="9746"/>
            </w:tabs>
            <w:rPr>
              <w:rFonts w:asciiTheme="minorEastAsia" w:hAnsiTheme="minorEastAsia" w:cstheme="minorEastAsia"/>
              <w:sz w:val="20"/>
              <w:szCs w:val="20"/>
            </w:rPr>
          </w:pPr>
          <w:r>
            <w:fldChar w:fldCharType="begin"/>
          </w:r>
          <w:r>
            <w:instrText xml:space="preserve"> HYPERLINK \l "_Toc16491" </w:instrText>
          </w:r>
          <w:r>
            <w:fldChar w:fldCharType="separate"/>
          </w:r>
          <w:r>
            <w:rPr>
              <w:rFonts w:hint="eastAsia" w:asciiTheme="minorEastAsia" w:hAnsiTheme="minorEastAsia" w:cstheme="minorEastAsia"/>
              <w:bCs/>
              <w:sz w:val="20"/>
              <w:szCs w:val="20"/>
            </w:rPr>
            <w:t>6  检验规则</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_Toc16491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3</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04F2FF24">
          <w:pPr>
            <w:pStyle w:val="6"/>
            <w:tabs>
              <w:tab w:val="right" w:leader="dot" w:pos="9746"/>
            </w:tabs>
            <w:rPr>
              <w:rFonts w:asciiTheme="minorEastAsia" w:hAnsiTheme="minorEastAsia" w:cstheme="minorEastAsia"/>
              <w:sz w:val="20"/>
              <w:szCs w:val="20"/>
            </w:rPr>
          </w:pPr>
          <w:r>
            <w:fldChar w:fldCharType="begin"/>
          </w:r>
          <w:r>
            <w:instrText xml:space="preserve"> HYPERLINK \l "_Toc28825" </w:instrText>
          </w:r>
          <w:r>
            <w:fldChar w:fldCharType="separate"/>
          </w:r>
          <w:r>
            <w:rPr>
              <w:rFonts w:hint="eastAsia" w:asciiTheme="minorEastAsia" w:hAnsiTheme="minorEastAsia" w:cstheme="minorEastAsia"/>
              <w:sz w:val="20"/>
              <w:szCs w:val="20"/>
            </w:rPr>
            <w:t>7  包装、运输、贮存</w:t>
          </w:r>
          <w:r>
            <w:rPr>
              <w:rFonts w:hint="eastAsia" w:asciiTheme="minorEastAsia" w:hAnsiTheme="minorEastAsia" w:cstheme="minorEastAsia"/>
              <w:sz w:val="20"/>
              <w:szCs w:val="20"/>
            </w:rPr>
            <w:tab/>
          </w:r>
          <w:r>
            <w:rPr>
              <w:rFonts w:hint="eastAsia" w:asciiTheme="minorEastAsia" w:hAnsiTheme="minorEastAsia" w:cstheme="minorEastAsia"/>
              <w:sz w:val="20"/>
              <w:szCs w:val="20"/>
            </w:rPr>
            <w:fldChar w:fldCharType="begin"/>
          </w:r>
          <w:r>
            <w:rPr>
              <w:rFonts w:hint="eastAsia" w:asciiTheme="minorEastAsia" w:hAnsiTheme="minorEastAsia" w:cstheme="minorEastAsia"/>
              <w:sz w:val="20"/>
              <w:szCs w:val="20"/>
            </w:rPr>
            <w:instrText xml:space="preserve"> PAGEREF _Toc28825 \h </w:instrText>
          </w:r>
          <w:r>
            <w:rPr>
              <w:rFonts w:hint="eastAsia" w:asciiTheme="minorEastAsia" w:hAnsiTheme="minorEastAsia" w:cstheme="minorEastAsia"/>
              <w:sz w:val="20"/>
              <w:szCs w:val="20"/>
            </w:rPr>
            <w:fldChar w:fldCharType="separate"/>
          </w:r>
          <w:r>
            <w:rPr>
              <w:rFonts w:hint="eastAsia" w:asciiTheme="minorEastAsia" w:hAnsiTheme="minorEastAsia" w:cstheme="minorEastAsia"/>
              <w:sz w:val="20"/>
              <w:szCs w:val="20"/>
            </w:rPr>
            <w:t>3</w:t>
          </w:r>
          <w:r>
            <w:rPr>
              <w:rFonts w:hint="eastAsia" w:asciiTheme="minorEastAsia" w:hAnsiTheme="minorEastAsia" w:cstheme="minorEastAsia"/>
              <w:sz w:val="20"/>
              <w:szCs w:val="20"/>
            </w:rPr>
            <w:fldChar w:fldCharType="end"/>
          </w:r>
          <w:r>
            <w:rPr>
              <w:rFonts w:hint="eastAsia" w:asciiTheme="minorEastAsia" w:hAnsiTheme="minorEastAsia" w:cstheme="minorEastAsia"/>
              <w:sz w:val="20"/>
              <w:szCs w:val="20"/>
            </w:rPr>
            <w:fldChar w:fldCharType="end"/>
          </w:r>
        </w:p>
        <w:p w14:paraId="39CCA112">
          <w:pPr>
            <w:pStyle w:val="6"/>
            <w:tabs>
              <w:tab w:val="right" w:leader="dot" w:pos="9746"/>
            </w:tabs>
            <w:rPr>
              <w:rFonts w:asciiTheme="minorEastAsia" w:hAnsiTheme="minorEastAsia" w:cstheme="minorEastAsia"/>
              <w:sz w:val="20"/>
              <w:szCs w:val="20"/>
            </w:rPr>
          </w:pPr>
          <w:r>
            <w:fldChar w:fldCharType="begin"/>
          </w:r>
          <w:r>
            <w:instrText xml:space="preserve"> HYPERLINK \l "_Toc28402" </w:instrText>
          </w:r>
          <w:r>
            <w:fldChar w:fldCharType="separate"/>
          </w:r>
          <w:r>
            <w:rPr>
              <w:rFonts w:hint="eastAsia" w:asciiTheme="minorEastAsia" w:hAnsiTheme="minorEastAsia" w:cstheme="minorEastAsia"/>
              <w:sz w:val="20"/>
              <w:szCs w:val="20"/>
            </w:rPr>
            <w:t>8  标识规定</w:t>
          </w:r>
          <w:r>
            <w:rPr>
              <w:rFonts w:hint="eastAsia" w:asciiTheme="minorEastAsia" w:hAnsiTheme="minorEastAsia" w:cstheme="minorEastAsia"/>
              <w:sz w:val="20"/>
              <w:szCs w:val="20"/>
            </w:rPr>
            <w:tab/>
          </w:r>
          <w:r>
            <w:rPr>
              <w:rFonts w:hint="eastAsia" w:asciiTheme="minorEastAsia" w:hAnsiTheme="minorEastAsia" w:cstheme="minorEastAsia"/>
              <w:sz w:val="20"/>
              <w:szCs w:val="20"/>
              <w:lang w:val="en-US" w:eastAsia="zh-CN"/>
            </w:rPr>
            <w:t>3</w:t>
          </w:r>
          <w:r>
            <w:rPr>
              <w:rFonts w:hint="eastAsia" w:asciiTheme="minorEastAsia" w:hAnsiTheme="minorEastAsia" w:cstheme="minorEastAsia"/>
              <w:sz w:val="20"/>
              <w:szCs w:val="20"/>
            </w:rPr>
            <w:fldChar w:fldCharType="end"/>
          </w:r>
        </w:p>
        <w:p w14:paraId="6A0E37F6">
          <w:pPr>
            <w:pStyle w:val="6"/>
            <w:tabs>
              <w:tab w:val="right" w:leader="dot" w:pos="9746"/>
            </w:tabs>
          </w:pPr>
          <w:r>
            <w:fldChar w:fldCharType="begin"/>
          </w:r>
          <w:r>
            <w:instrText xml:space="preserve"> HYPERLINK \l "_Toc16664" </w:instrText>
          </w:r>
          <w:r>
            <w:fldChar w:fldCharType="separate"/>
          </w:r>
          <w:r>
            <w:rPr>
              <w:rFonts w:hint="eastAsia" w:asciiTheme="minorEastAsia" w:hAnsiTheme="minorEastAsia" w:cstheme="minorEastAsia"/>
              <w:sz w:val="20"/>
              <w:szCs w:val="20"/>
            </w:rPr>
            <w:t>附录A（资料性） 品质雷达图</w:t>
          </w:r>
          <w:r>
            <w:rPr>
              <w:rFonts w:hint="eastAsia" w:asciiTheme="minorEastAsia" w:hAnsiTheme="minorEastAsia" w:cstheme="minorEastAsia"/>
              <w:sz w:val="20"/>
              <w:szCs w:val="20"/>
            </w:rPr>
            <w:tab/>
          </w:r>
          <w:r>
            <w:rPr>
              <w:rFonts w:hint="eastAsia" w:asciiTheme="minorEastAsia" w:hAnsiTheme="minorEastAsia" w:cstheme="minorEastAsia"/>
              <w:sz w:val="20"/>
              <w:szCs w:val="20"/>
              <w:lang w:val="en-US" w:eastAsia="zh-CN"/>
            </w:rPr>
            <w:t>4</w:t>
          </w:r>
          <w:r>
            <w:rPr>
              <w:rFonts w:hint="eastAsia" w:asciiTheme="minorEastAsia" w:hAnsiTheme="minorEastAsia" w:cstheme="minorEastAsia"/>
              <w:sz w:val="20"/>
              <w:szCs w:val="20"/>
            </w:rPr>
            <w:fldChar w:fldCharType="end"/>
          </w:r>
        </w:p>
        <w:p w14:paraId="189C2208">
          <w:pPr>
            <w:jc w:val="center"/>
            <w:rPr>
              <w:rFonts w:ascii="Times New Roman" w:hAnsi="Times New Roman" w:eastAsia="黑体"/>
              <w:szCs w:val="32"/>
            </w:rPr>
          </w:pPr>
          <w:r>
            <w:rPr>
              <w:rFonts w:hint="eastAsia" w:asciiTheme="minorEastAsia" w:hAnsiTheme="minorEastAsia" w:cstheme="minorEastAsia"/>
              <w:szCs w:val="21"/>
            </w:rPr>
            <w:fldChar w:fldCharType="end"/>
          </w:r>
        </w:p>
      </w:sdtContent>
    </w:sdt>
    <w:p w14:paraId="3BC69B58">
      <w:pPr>
        <w:tabs>
          <w:tab w:val="left" w:pos="8169"/>
        </w:tabs>
        <w:jc w:val="left"/>
        <w:rPr>
          <w:rFonts w:ascii="Times New Roman" w:hAnsi="Times New Roman" w:eastAsia="黑体"/>
          <w:szCs w:val="32"/>
        </w:rPr>
      </w:pPr>
      <w:r>
        <w:rPr>
          <w:rFonts w:hint="eastAsia" w:ascii="Times New Roman" w:hAnsi="Times New Roman" w:eastAsia="黑体"/>
          <w:szCs w:val="32"/>
        </w:rPr>
        <w:tab/>
      </w:r>
    </w:p>
    <w:p w14:paraId="06305196">
      <w:pPr>
        <w:adjustRightInd w:val="0"/>
        <w:snapToGrid w:val="0"/>
        <w:spacing w:line="460" w:lineRule="exact"/>
        <w:rPr>
          <w:rFonts w:ascii="Times New Roman" w:hAnsi="Times New Roman" w:eastAsia="黑体"/>
          <w:sz w:val="32"/>
          <w:szCs w:val="32"/>
        </w:rPr>
      </w:pPr>
    </w:p>
    <w:p w14:paraId="3FA29C35">
      <w:pPr>
        <w:rPr>
          <w:rFonts w:ascii="黑体" w:hAnsi="黑体" w:eastAsia="黑体" w:cs="黑体"/>
          <w:sz w:val="20"/>
          <w:szCs w:val="20"/>
        </w:rPr>
      </w:pPr>
    </w:p>
    <w:p w14:paraId="0685EB3F"/>
    <w:p w14:paraId="425F6CDA">
      <w:pPr>
        <w:tabs>
          <w:tab w:val="left" w:pos="6455"/>
        </w:tabs>
        <w:jc w:val="left"/>
      </w:pPr>
      <w:r>
        <w:rPr>
          <w:rFonts w:hint="eastAsia"/>
        </w:rPr>
        <w:tab/>
      </w:r>
    </w:p>
    <w:p w14:paraId="6DD9E9D7">
      <w:pPr>
        <w:tabs>
          <w:tab w:val="left" w:pos="6455"/>
        </w:tabs>
        <w:jc w:val="left"/>
      </w:pPr>
    </w:p>
    <w:p w14:paraId="4121DE2A">
      <w:pPr>
        <w:tabs>
          <w:tab w:val="left" w:pos="6455"/>
        </w:tabs>
        <w:jc w:val="left"/>
      </w:pPr>
    </w:p>
    <w:p w14:paraId="25B444C2">
      <w:pPr>
        <w:tabs>
          <w:tab w:val="left" w:pos="6455"/>
        </w:tabs>
        <w:jc w:val="left"/>
      </w:pPr>
    </w:p>
    <w:p w14:paraId="56AEEB16">
      <w:pPr>
        <w:tabs>
          <w:tab w:val="left" w:pos="6455"/>
        </w:tabs>
        <w:jc w:val="left"/>
      </w:pPr>
    </w:p>
    <w:p w14:paraId="03F18E69">
      <w:pPr>
        <w:tabs>
          <w:tab w:val="left" w:pos="6455"/>
        </w:tabs>
        <w:jc w:val="left"/>
      </w:pPr>
    </w:p>
    <w:p w14:paraId="57E83EE0">
      <w:pPr>
        <w:tabs>
          <w:tab w:val="left" w:pos="6455"/>
        </w:tabs>
        <w:jc w:val="left"/>
      </w:pPr>
    </w:p>
    <w:p w14:paraId="1098888B">
      <w:pPr>
        <w:tabs>
          <w:tab w:val="left" w:pos="6455"/>
        </w:tabs>
        <w:jc w:val="left"/>
      </w:pPr>
    </w:p>
    <w:p w14:paraId="107AEC5C">
      <w:pPr>
        <w:tabs>
          <w:tab w:val="left" w:pos="6455"/>
        </w:tabs>
        <w:jc w:val="left"/>
      </w:pPr>
    </w:p>
    <w:p w14:paraId="35498B87">
      <w:pPr>
        <w:tabs>
          <w:tab w:val="left" w:pos="6455"/>
        </w:tabs>
        <w:jc w:val="left"/>
      </w:pPr>
    </w:p>
    <w:p w14:paraId="53BA949E">
      <w:pPr>
        <w:tabs>
          <w:tab w:val="left" w:pos="6455"/>
        </w:tabs>
        <w:jc w:val="left"/>
      </w:pPr>
    </w:p>
    <w:p w14:paraId="13C9F754">
      <w:pPr>
        <w:tabs>
          <w:tab w:val="left" w:pos="6455"/>
        </w:tabs>
        <w:jc w:val="left"/>
      </w:pPr>
    </w:p>
    <w:p w14:paraId="6FA868E2">
      <w:pPr>
        <w:tabs>
          <w:tab w:val="left" w:pos="6455"/>
        </w:tabs>
        <w:jc w:val="left"/>
      </w:pPr>
    </w:p>
    <w:p w14:paraId="328942C0">
      <w:pPr>
        <w:tabs>
          <w:tab w:val="left" w:pos="6455"/>
        </w:tabs>
        <w:jc w:val="left"/>
      </w:pPr>
    </w:p>
    <w:p w14:paraId="728C88C0">
      <w:pPr>
        <w:tabs>
          <w:tab w:val="left" w:pos="6455"/>
        </w:tabs>
        <w:jc w:val="left"/>
      </w:pPr>
    </w:p>
    <w:p w14:paraId="3ADE60FB">
      <w:pPr>
        <w:tabs>
          <w:tab w:val="left" w:pos="6455"/>
        </w:tabs>
        <w:jc w:val="left"/>
      </w:pPr>
    </w:p>
    <w:p w14:paraId="69023A08">
      <w:pPr>
        <w:tabs>
          <w:tab w:val="left" w:pos="6455"/>
        </w:tabs>
        <w:jc w:val="left"/>
      </w:pPr>
    </w:p>
    <w:p w14:paraId="2C2A3309">
      <w:pPr>
        <w:tabs>
          <w:tab w:val="left" w:pos="6455"/>
        </w:tabs>
        <w:jc w:val="left"/>
      </w:pPr>
    </w:p>
    <w:p w14:paraId="68671B33">
      <w:pPr>
        <w:tabs>
          <w:tab w:val="left" w:pos="6455"/>
        </w:tabs>
        <w:rPr>
          <w:rFonts w:ascii="黑体" w:hAnsi="黑体" w:eastAsia="黑体" w:cs="黑体"/>
          <w:sz w:val="20"/>
          <w:szCs w:val="20"/>
        </w:rPr>
      </w:pPr>
    </w:p>
    <w:p w14:paraId="237DF901">
      <w:pPr>
        <w:tabs>
          <w:tab w:val="left" w:pos="6455"/>
        </w:tabs>
        <w:jc w:val="right"/>
        <w:rPr>
          <w:rFonts w:ascii="黑体" w:hAnsi="黑体" w:eastAsia="黑体" w:cs="黑体"/>
          <w:sz w:val="20"/>
          <w:szCs w:val="20"/>
        </w:rPr>
      </w:pPr>
    </w:p>
    <w:p w14:paraId="074BABEC">
      <w:pPr>
        <w:tabs>
          <w:tab w:val="left" w:pos="6455"/>
        </w:tabs>
        <w:jc w:val="right"/>
        <w:rPr>
          <w:rFonts w:ascii="黑体" w:hAnsi="黑体" w:eastAsia="黑体" w:cs="黑体"/>
          <w:sz w:val="20"/>
          <w:szCs w:val="20"/>
        </w:rPr>
      </w:pPr>
    </w:p>
    <w:p w14:paraId="6B39896C">
      <w:pPr>
        <w:tabs>
          <w:tab w:val="left" w:pos="6455"/>
        </w:tabs>
        <w:jc w:val="right"/>
        <w:rPr>
          <w:rFonts w:ascii="黑体" w:hAnsi="黑体" w:eastAsia="黑体" w:cs="黑体"/>
          <w:sz w:val="20"/>
          <w:szCs w:val="20"/>
        </w:rPr>
      </w:pPr>
    </w:p>
    <w:p w14:paraId="17BE8873">
      <w:pPr>
        <w:tabs>
          <w:tab w:val="left" w:pos="6455"/>
        </w:tabs>
        <w:jc w:val="right"/>
        <w:rPr>
          <w:rFonts w:ascii="黑体" w:hAnsi="黑体" w:eastAsia="黑体" w:cs="黑体"/>
          <w:sz w:val="20"/>
          <w:szCs w:val="20"/>
        </w:rPr>
        <w:sectPr>
          <w:headerReference r:id="rId6" w:type="first"/>
          <w:footerReference r:id="rId9" w:type="first"/>
          <w:headerReference r:id="rId4" w:type="default"/>
          <w:footerReference r:id="rId7" w:type="default"/>
          <w:headerReference r:id="rId5" w:type="even"/>
          <w:footerReference r:id="rId8" w:type="even"/>
          <w:pgSz w:w="11906" w:h="16838"/>
          <w:pgMar w:top="1440" w:right="1080" w:bottom="1440" w:left="1080" w:header="851" w:footer="992" w:gutter="0"/>
          <w:pgNumType w:fmt="upperRoman" w:start="1"/>
          <w:cols w:space="425" w:num="1"/>
          <w:titlePg/>
          <w:docGrid w:type="lines" w:linePitch="312" w:charSpace="0"/>
        </w:sectPr>
      </w:pPr>
    </w:p>
    <w:p w14:paraId="085163D2">
      <w:pPr>
        <w:tabs>
          <w:tab w:val="left" w:pos="6455"/>
        </w:tabs>
        <w:rPr>
          <w:rFonts w:ascii="Times New Roman" w:hAnsi="Times New Roman" w:eastAsia="黑体" w:cs="Times New Roman"/>
          <w:sz w:val="20"/>
          <w:szCs w:val="20"/>
        </w:rPr>
      </w:pPr>
    </w:p>
    <w:p w14:paraId="27B17E56">
      <w:pPr>
        <w:jc w:val="right"/>
        <w:rPr>
          <w:rFonts w:ascii="Times New Roman" w:hAnsi="Times New Roman" w:eastAsia="黑体" w:cs="Times New Roman"/>
          <w:sz w:val="20"/>
          <w:szCs w:val="20"/>
        </w:rPr>
      </w:pPr>
    </w:p>
    <w:p w14:paraId="2815A74F">
      <w:pPr>
        <w:rPr>
          <w:rFonts w:ascii="Times New Roman" w:hAnsi="Times New Roman" w:eastAsia="黑体" w:cs="Times New Roman"/>
          <w:sz w:val="20"/>
          <w:szCs w:val="20"/>
        </w:rPr>
      </w:pPr>
    </w:p>
    <w:p w14:paraId="4008E3E6">
      <w:pPr>
        <w:jc w:val="center"/>
        <w:outlineLvl w:val="0"/>
        <w:rPr>
          <w:rFonts w:ascii="Times New Roman" w:hAnsi="Times New Roman" w:eastAsia="黑体" w:cs="Times New Roman"/>
          <w:sz w:val="32"/>
          <w:szCs w:val="32"/>
        </w:rPr>
      </w:pPr>
      <w:bookmarkStart w:id="5" w:name="_Toc30152"/>
      <w:r>
        <w:rPr>
          <w:rFonts w:hint="eastAsia" w:ascii="Times New Roman" w:hAnsi="Times New Roman" w:eastAsia="黑体" w:cs="Times New Roman"/>
          <w:sz w:val="32"/>
          <w:szCs w:val="32"/>
        </w:rPr>
        <w:t>前   言</w:t>
      </w:r>
      <w:bookmarkEnd w:id="5"/>
    </w:p>
    <w:p w14:paraId="7D3AFA85">
      <w:pPr>
        <w:adjustRightInd w:val="0"/>
        <w:snapToGrid w:val="0"/>
        <w:spacing w:line="460" w:lineRule="exact"/>
        <w:ind w:firstLine="640" w:firstLineChars="200"/>
        <w:jc w:val="left"/>
        <w:rPr>
          <w:rFonts w:ascii="Times New Roman" w:hAnsi="Times New Roman" w:eastAsia="黑体" w:cs="Times New Roman"/>
          <w:sz w:val="32"/>
          <w:szCs w:val="32"/>
        </w:rPr>
      </w:pPr>
    </w:p>
    <w:p w14:paraId="1BC82240">
      <w:pPr>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本文件按照GB/T 1.1-2020《标准化工作导则  第1部分：标准化文件的结构和起草规则》的规定起草。</w:t>
      </w:r>
    </w:p>
    <w:p w14:paraId="0E192FA3">
      <w:pPr>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请注意本文件的某些内容可能涉及专利，本文件的发布机构不承担识别专利的责任。</w:t>
      </w:r>
    </w:p>
    <w:p w14:paraId="3A45CA6E">
      <w:pPr>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本文件由深圳农产品质量提升联盟提出。</w:t>
      </w:r>
    </w:p>
    <w:p w14:paraId="5E9BE446">
      <w:pPr>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本文件由深圳市农业产业化龙头企业协会归口。</w:t>
      </w:r>
    </w:p>
    <w:p w14:paraId="43599DE5">
      <w:pPr>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本文件起草单位：</w:t>
      </w:r>
    </w:p>
    <w:p w14:paraId="7028288A">
      <w:pPr>
        <w:ind w:firstLine="400" w:firstLineChars="200"/>
        <w:rPr>
          <w:rFonts w:ascii="宋体" w:hAnsi="宋体" w:eastAsia="宋体" w:cs="宋体"/>
          <w:spacing w:val="-1"/>
          <w:sz w:val="20"/>
          <w:szCs w:val="20"/>
        </w:rPr>
      </w:pPr>
      <w:r>
        <w:rPr>
          <w:rFonts w:hint="eastAsia" w:asciiTheme="minorEastAsia" w:hAnsiTheme="minorEastAsia" w:cstheme="minorEastAsia"/>
          <w:sz w:val="20"/>
          <w:szCs w:val="20"/>
        </w:rPr>
        <w:t>本文件主要起草人：</w:t>
      </w:r>
    </w:p>
    <w:p w14:paraId="150C2DDA">
      <w:pPr>
        <w:adjustRightInd w:val="0"/>
        <w:snapToGrid w:val="0"/>
        <w:ind w:firstLine="396" w:firstLineChars="200"/>
        <w:rPr>
          <w:rFonts w:ascii="宋体" w:hAnsi="宋体" w:eastAsia="宋体" w:cs="宋体"/>
          <w:spacing w:val="-1"/>
          <w:sz w:val="20"/>
          <w:szCs w:val="20"/>
        </w:rPr>
      </w:pPr>
    </w:p>
    <w:p w14:paraId="6267F2C8">
      <w:pPr>
        <w:adjustRightInd w:val="0"/>
        <w:snapToGrid w:val="0"/>
        <w:rPr>
          <w:rFonts w:ascii="宋体" w:hAnsi="宋体" w:eastAsia="宋体" w:cs="宋体"/>
          <w:spacing w:val="-1"/>
          <w:sz w:val="20"/>
          <w:szCs w:val="20"/>
        </w:rPr>
      </w:pPr>
    </w:p>
    <w:p w14:paraId="0647EF8C">
      <w:pPr>
        <w:jc w:val="left"/>
        <w:rPr>
          <w:rFonts w:ascii="Times New Roman" w:hAnsi="Times New Roman" w:eastAsia="黑体" w:cs="Times New Roman"/>
          <w:sz w:val="20"/>
          <w:szCs w:val="20"/>
        </w:rPr>
      </w:pPr>
    </w:p>
    <w:p w14:paraId="68734E6F">
      <w:pPr>
        <w:jc w:val="left"/>
        <w:rPr>
          <w:rFonts w:ascii="Times New Roman" w:hAnsi="Times New Roman" w:eastAsia="黑体" w:cs="Times New Roman"/>
          <w:sz w:val="20"/>
          <w:szCs w:val="20"/>
        </w:rPr>
      </w:pPr>
    </w:p>
    <w:p w14:paraId="7E36D449">
      <w:pPr>
        <w:jc w:val="left"/>
        <w:rPr>
          <w:rFonts w:ascii="Times New Roman" w:hAnsi="Times New Roman" w:eastAsia="黑体" w:cs="Times New Roman"/>
          <w:sz w:val="20"/>
          <w:szCs w:val="20"/>
        </w:rPr>
      </w:pPr>
    </w:p>
    <w:p w14:paraId="034E75EF">
      <w:pPr>
        <w:jc w:val="left"/>
        <w:rPr>
          <w:rFonts w:ascii="Times New Roman" w:hAnsi="Times New Roman" w:eastAsia="黑体" w:cs="Times New Roman"/>
          <w:sz w:val="20"/>
          <w:szCs w:val="20"/>
        </w:rPr>
      </w:pPr>
    </w:p>
    <w:p w14:paraId="788CDF4D">
      <w:pPr>
        <w:jc w:val="left"/>
        <w:rPr>
          <w:rFonts w:ascii="Times New Roman" w:hAnsi="Times New Roman" w:eastAsia="黑体" w:cs="Times New Roman"/>
          <w:sz w:val="20"/>
          <w:szCs w:val="20"/>
        </w:rPr>
      </w:pPr>
    </w:p>
    <w:p w14:paraId="4868F0BA">
      <w:pPr>
        <w:jc w:val="left"/>
        <w:rPr>
          <w:rFonts w:ascii="Times New Roman" w:hAnsi="Times New Roman" w:eastAsia="黑体" w:cs="Times New Roman"/>
          <w:sz w:val="20"/>
          <w:szCs w:val="20"/>
        </w:rPr>
      </w:pPr>
    </w:p>
    <w:p w14:paraId="6B3DA5EE">
      <w:pPr>
        <w:jc w:val="left"/>
        <w:rPr>
          <w:rFonts w:ascii="Times New Roman" w:hAnsi="Times New Roman" w:eastAsia="黑体" w:cs="Times New Roman"/>
          <w:sz w:val="20"/>
          <w:szCs w:val="20"/>
        </w:rPr>
      </w:pPr>
    </w:p>
    <w:p w14:paraId="62733B8E">
      <w:pPr>
        <w:jc w:val="left"/>
        <w:rPr>
          <w:rFonts w:ascii="Times New Roman" w:hAnsi="Times New Roman" w:eastAsia="黑体" w:cs="Times New Roman"/>
          <w:sz w:val="20"/>
          <w:szCs w:val="20"/>
        </w:rPr>
      </w:pPr>
    </w:p>
    <w:p w14:paraId="75A54820">
      <w:pPr>
        <w:jc w:val="left"/>
        <w:rPr>
          <w:rFonts w:ascii="Times New Roman" w:hAnsi="Times New Roman" w:eastAsia="黑体" w:cs="Times New Roman"/>
          <w:sz w:val="20"/>
          <w:szCs w:val="20"/>
        </w:rPr>
      </w:pPr>
    </w:p>
    <w:p w14:paraId="6461F823">
      <w:pPr>
        <w:jc w:val="left"/>
        <w:rPr>
          <w:rFonts w:ascii="Times New Roman" w:hAnsi="Times New Roman" w:eastAsia="黑体" w:cs="Times New Roman"/>
          <w:sz w:val="20"/>
          <w:szCs w:val="20"/>
        </w:rPr>
      </w:pPr>
    </w:p>
    <w:p w14:paraId="441B3A36">
      <w:pPr>
        <w:jc w:val="left"/>
        <w:rPr>
          <w:rFonts w:ascii="Times New Roman" w:hAnsi="Times New Roman" w:eastAsia="黑体" w:cs="Times New Roman"/>
          <w:sz w:val="20"/>
          <w:szCs w:val="20"/>
        </w:rPr>
      </w:pPr>
    </w:p>
    <w:p w14:paraId="23BBD68F">
      <w:pPr>
        <w:jc w:val="left"/>
        <w:rPr>
          <w:rFonts w:ascii="Times New Roman" w:hAnsi="Times New Roman" w:eastAsia="黑体" w:cs="Times New Roman"/>
          <w:sz w:val="20"/>
          <w:szCs w:val="20"/>
        </w:rPr>
      </w:pPr>
    </w:p>
    <w:p w14:paraId="38E17575">
      <w:pPr>
        <w:jc w:val="left"/>
        <w:rPr>
          <w:rFonts w:ascii="Times New Roman" w:hAnsi="Times New Roman" w:eastAsia="黑体" w:cs="Times New Roman"/>
          <w:sz w:val="20"/>
          <w:szCs w:val="20"/>
        </w:rPr>
      </w:pPr>
    </w:p>
    <w:p w14:paraId="3E55ABC5">
      <w:pPr>
        <w:jc w:val="left"/>
        <w:rPr>
          <w:rFonts w:ascii="Times New Roman" w:hAnsi="Times New Roman" w:eastAsia="黑体" w:cs="Times New Roman"/>
          <w:sz w:val="20"/>
          <w:szCs w:val="20"/>
        </w:rPr>
      </w:pPr>
    </w:p>
    <w:p w14:paraId="2B644195">
      <w:pPr>
        <w:jc w:val="left"/>
        <w:rPr>
          <w:rFonts w:ascii="Times New Roman" w:hAnsi="Times New Roman" w:eastAsia="黑体" w:cs="Times New Roman"/>
          <w:sz w:val="20"/>
          <w:szCs w:val="20"/>
        </w:rPr>
      </w:pPr>
    </w:p>
    <w:p w14:paraId="2DFEC392">
      <w:pPr>
        <w:jc w:val="left"/>
        <w:rPr>
          <w:rFonts w:ascii="Times New Roman" w:hAnsi="Times New Roman" w:eastAsia="黑体" w:cs="Times New Roman"/>
          <w:sz w:val="20"/>
          <w:szCs w:val="20"/>
        </w:rPr>
      </w:pPr>
    </w:p>
    <w:p w14:paraId="14D7AD33">
      <w:pPr>
        <w:jc w:val="left"/>
        <w:rPr>
          <w:rFonts w:ascii="Times New Roman" w:hAnsi="Times New Roman" w:eastAsia="黑体" w:cs="Times New Roman"/>
          <w:sz w:val="20"/>
          <w:szCs w:val="20"/>
        </w:rPr>
      </w:pPr>
    </w:p>
    <w:p w14:paraId="1A6E99B7">
      <w:pPr>
        <w:jc w:val="left"/>
        <w:rPr>
          <w:rFonts w:ascii="Times New Roman" w:hAnsi="Times New Roman" w:eastAsia="黑体" w:cs="Times New Roman"/>
          <w:sz w:val="20"/>
          <w:szCs w:val="20"/>
        </w:rPr>
      </w:pPr>
    </w:p>
    <w:p w14:paraId="757EC7EF">
      <w:pPr>
        <w:jc w:val="left"/>
        <w:rPr>
          <w:rFonts w:ascii="Times New Roman" w:hAnsi="Times New Roman" w:eastAsia="黑体" w:cs="Times New Roman"/>
          <w:sz w:val="20"/>
          <w:szCs w:val="20"/>
        </w:rPr>
      </w:pPr>
    </w:p>
    <w:p w14:paraId="156363CB">
      <w:pPr>
        <w:jc w:val="left"/>
        <w:rPr>
          <w:rFonts w:ascii="Times New Roman" w:hAnsi="Times New Roman" w:eastAsia="黑体" w:cs="Times New Roman"/>
          <w:sz w:val="20"/>
          <w:szCs w:val="20"/>
        </w:rPr>
      </w:pPr>
    </w:p>
    <w:p w14:paraId="61BF9663">
      <w:pPr>
        <w:jc w:val="left"/>
        <w:rPr>
          <w:rFonts w:ascii="Times New Roman" w:hAnsi="Times New Roman" w:eastAsia="黑体" w:cs="Times New Roman"/>
          <w:sz w:val="20"/>
          <w:szCs w:val="20"/>
        </w:rPr>
      </w:pPr>
    </w:p>
    <w:p w14:paraId="1B603F2B">
      <w:pPr>
        <w:jc w:val="left"/>
        <w:rPr>
          <w:rFonts w:ascii="Times New Roman" w:hAnsi="Times New Roman" w:eastAsia="黑体" w:cs="Times New Roman"/>
          <w:sz w:val="20"/>
          <w:szCs w:val="20"/>
        </w:rPr>
      </w:pPr>
    </w:p>
    <w:p w14:paraId="754F71D3">
      <w:pPr>
        <w:jc w:val="left"/>
        <w:rPr>
          <w:rFonts w:ascii="Times New Roman" w:hAnsi="Times New Roman" w:eastAsia="黑体" w:cs="Times New Roman"/>
          <w:sz w:val="20"/>
          <w:szCs w:val="20"/>
        </w:rPr>
      </w:pPr>
    </w:p>
    <w:p w14:paraId="4C67AED5">
      <w:pPr>
        <w:jc w:val="left"/>
        <w:rPr>
          <w:rFonts w:ascii="Times New Roman" w:hAnsi="Times New Roman" w:eastAsia="黑体" w:cs="Times New Roman"/>
          <w:sz w:val="20"/>
          <w:szCs w:val="20"/>
        </w:rPr>
      </w:pPr>
    </w:p>
    <w:p w14:paraId="46767A81">
      <w:pPr>
        <w:rPr>
          <w:rFonts w:ascii="黑体" w:hAnsi="黑体" w:eastAsia="黑体" w:cs="黑体"/>
          <w:sz w:val="20"/>
          <w:szCs w:val="20"/>
        </w:rPr>
      </w:pPr>
    </w:p>
    <w:p w14:paraId="3AF95018">
      <w:pPr>
        <w:rPr>
          <w:rFonts w:ascii="黑体" w:hAnsi="黑体" w:eastAsia="黑体" w:cs="黑体"/>
          <w:sz w:val="20"/>
          <w:szCs w:val="20"/>
        </w:rPr>
      </w:pPr>
    </w:p>
    <w:p w14:paraId="2EEC1BAE">
      <w:pPr>
        <w:jc w:val="right"/>
        <w:rPr>
          <w:rFonts w:ascii="黑体" w:hAnsi="黑体" w:eastAsia="黑体" w:cs="黑体"/>
          <w:sz w:val="20"/>
          <w:szCs w:val="20"/>
        </w:rPr>
        <w:sectPr>
          <w:headerReference r:id="rId12" w:type="first"/>
          <w:footerReference r:id="rId15" w:type="first"/>
          <w:headerReference r:id="rId10" w:type="default"/>
          <w:footerReference r:id="rId13" w:type="default"/>
          <w:headerReference r:id="rId11" w:type="even"/>
          <w:footerReference r:id="rId14" w:type="even"/>
          <w:pgSz w:w="11906" w:h="16838"/>
          <w:pgMar w:top="1440" w:right="1080" w:bottom="1440" w:left="1080" w:header="851" w:footer="992" w:gutter="0"/>
          <w:pgNumType w:fmt="upperRoman"/>
          <w:cols w:space="425" w:num="1"/>
          <w:docGrid w:type="lines" w:linePitch="312" w:charSpace="0"/>
        </w:sectPr>
      </w:pPr>
    </w:p>
    <w:p w14:paraId="2418D435">
      <w:pPr>
        <w:jc w:val="right"/>
        <w:rPr>
          <w:rFonts w:ascii="Times New Roman" w:hAnsi="Times New Roman" w:eastAsia="黑体" w:cs="Times New Roman"/>
          <w:sz w:val="20"/>
          <w:szCs w:val="20"/>
        </w:rPr>
      </w:pPr>
    </w:p>
    <w:p w14:paraId="524EF637">
      <w:pPr>
        <w:rPr>
          <w:rFonts w:ascii="Times New Roman" w:hAnsi="Times New Roman" w:eastAsia="黑体" w:cs="Times New Roman"/>
          <w:sz w:val="20"/>
          <w:szCs w:val="20"/>
        </w:rPr>
      </w:pPr>
    </w:p>
    <w:p w14:paraId="18F8BBC9">
      <w:pPr>
        <w:rPr>
          <w:rFonts w:ascii="Times New Roman" w:hAnsi="Times New Roman" w:eastAsia="黑体" w:cs="Times New Roman"/>
          <w:sz w:val="20"/>
          <w:szCs w:val="20"/>
        </w:rPr>
      </w:pPr>
    </w:p>
    <w:p w14:paraId="4421CDFB">
      <w:pPr>
        <w:jc w:val="center"/>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rPr>
        <w:t xml:space="preserve">水果分级标准  </w:t>
      </w:r>
      <w:r>
        <w:rPr>
          <w:rFonts w:hint="eastAsia" w:ascii="Times New Roman" w:hAnsi="Times New Roman" w:eastAsia="黑体" w:cs="Times New Roman"/>
          <w:sz w:val="32"/>
          <w:szCs w:val="32"/>
          <w:lang w:val="en-US" w:eastAsia="zh-CN"/>
        </w:rPr>
        <w:t>赣南脐橙</w:t>
      </w:r>
    </w:p>
    <w:p w14:paraId="01E4F9BF">
      <w:pPr>
        <w:jc w:val="left"/>
        <w:rPr>
          <w:rFonts w:ascii="Times New Roman" w:hAnsi="Times New Roman" w:eastAsia="黑体" w:cs="Times New Roman"/>
          <w:sz w:val="32"/>
          <w:szCs w:val="32"/>
        </w:rPr>
      </w:pPr>
    </w:p>
    <w:p w14:paraId="4B5BF949">
      <w:pPr>
        <w:adjustRightInd w:val="0"/>
        <w:snapToGrid w:val="0"/>
        <w:jc w:val="left"/>
        <w:outlineLvl w:val="0"/>
        <w:rPr>
          <w:rFonts w:ascii="黑体" w:hAnsi="黑体" w:eastAsia="黑体" w:cs="黑体"/>
          <w:sz w:val="20"/>
          <w:szCs w:val="20"/>
        </w:rPr>
      </w:pPr>
      <w:bookmarkStart w:id="6" w:name="_Toc26003"/>
      <w:r>
        <w:rPr>
          <w:rFonts w:hint="eastAsia" w:ascii="黑体" w:hAnsi="黑体" w:eastAsia="黑体" w:cs="黑体"/>
          <w:sz w:val="20"/>
          <w:szCs w:val="20"/>
        </w:rPr>
        <w:t>1  范围</w:t>
      </w:r>
      <w:bookmarkEnd w:id="6"/>
    </w:p>
    <w:p w14:paraId="368E0295">
      <w:pPr>
        <w:adjustRightInd w:val="0"/>
        <w:snapToGrid w:val="0"/>
        <w:ind w:firstLine="400" w:firstLineChars="200"/>
        <w:jc w:val="left"/>
        <w:rPr>
          <w:rFonts w:asciiTheme="minorEastAsia" w:hAnsiTheme="minorEastAsia" w:cstheme="minorEastAsia"/>
          <w:sz w:val="20"/>
          <w:szCs w:val="20"/>
        </w:rPr>
      </w:pPr>
    </w:p>
    <w:p w14:paraId="44D43C47">
      <w:pPr>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本文件规定了</w:t>
      </w:r>
      <w:bookmarkStart w:id="7" w:name="OLE_LINK1"/>
      <w:r>
        <w:rPr>
          <w:rFonts w:hint="eastAsia" w:asciiTheme="minorEastAsia" w:hAnsiTheme="minorEastAsia" w:cstheme="minorEastAsia"/>
          <w:sz w:val="20"/>
          <w:szCs w:val="20"/>
          <w:lang w:val="en-US" w:eastAsia="zh-CN"/>
        </w:rPr>
        <w:t>赣南脐橙</w:t>
      </w:r>
      <w:bookmarkEnd w:id="7"/>
      <w:r>
        <w:rPr>
          <w:rFonts w:hint="eastAsia" w:asciiTheme="minorEastAsia" w:hAnsiTheme="minorEastAsia" w:cstheme="minorEastAsia"/>
          <w:sz w:val="20"/>
          <w:szCs w:val="20"/>
        </w:rPr>
        <w:t>的术语和定义、分级要求、试验方法、检验规则、包装、运输、贮存和标识规定。</w:t>
      </w:r>
    </w:p>
    <w:p w14:paraId="736125DC">
      <w:pPr>
        <w:ind w:firstLine="400" w:firstLineChars="200"/>
        <w:rPr>
          <w:rFonts w:asciiTheme="minorEastAsia" w:hAnsiTheme="minorEastAsia" w:cstheme="minorEastAsia"/>
          <w:color w:val="auto"/>
          <w:sz w:val="20"/>
          <w:szCs w:val="20"/>
        </w:rPr>
      </w:pPr>
      <w:r>
        <w:rPr>
          <w:rFonts w:hint="eastAsia" w:asciiTheme="minorEastAsia" w:hAnsiTheme="minorEastAsia" w:cstheme="minorEastAsia"/>
          <w:color w:val="auto"/>
          <w:sz w:val="20"/>
          <w:szCs w:val="20"/>
        </w:rPr>
        <w:t>本文件适用于以新鲜或原有状态供消费者直接食用的</w:t>
      </w:r>
      <w:r>
        <w:rPr>
          <w:rFonts w:hint="eastAsia" w:asciiTheme="minorEastAsia" w:hAnsiTheme="minorEastAsia" w:cstheme="minorEastAsia"/>
          <w:color w:val="auto"/>
          <w:sz w:val="20"/>
          <w:szCs w:val="20"/>
          <w:lang w:val="en-US" w:eastAsia="zh-CN"/>
        </w:rPr>
        <w:t>赣南脐橙</w:t>
      </w:r>
      <w:r>
        <w:rPr>
          <w:rFonts w:hint="eastAsia" w:asciiTheme="minorEastAsia" w:hAnsiTheme="minorEastAsia" w:cstheme="minorEastAsia"/>
          <w:color w:val="auto"/>
          <w:sz w:val="20"/>
          <w:szCs w:val="20"/>
        </w:rPr>
        <w:t>分级，用于加工的</w:t>
      </w:r>
      <w:r>
        <w:rPr>
          <w:rFonts w:hint="eastAsia" w:asciiTheme="minorEastAsia" w:hAnsiTheme="minorEastAsia" w:cstheme="minorEastAsia"/>
          <w:color w:val="auto"/>
          <w:sz w:val="20"/>
          <w:szCs w:val="20"/>
          <w:lang w:val="en-US" w:eastAsia="zh-CN"/>
        </w:rPr>
        <w:t>赣南脐橙</w:t>
      </w:r>
      <w:r>
        <w:rPr>
          <w:rFonts w:hint="eastAsia" w:asciiTheme="minorEastAsia" w:hAnsiTheme="minorEastAsia" w:cstheme="minorEastAsia"/>
          <w:color w:val="auto"/>
          <w:sz w:val="20"/>
          <w:szCs w:val="20"/>
        </w:rPr>
        <w:t>除外，其它地区生产的</w:t>
      </w:r>
      <w:r>
        <w:rPr>
          <w:rFonts w:hint="eastAsia" w:asciiTheme="minorEastAsia" w:hAnsiTheme="minorEastAsia" w:cstheme="minorEastAsia"/>
          <w:color w:val="auto"/>
          <w:sz w:val="20"/>
          <w:szCs w:val="20"/>
          <w:lang w:val="en-US" w:eastAsia="zh-CN"/>
        </w:rPr>
        <w:t>脐橙</w:t>
      </w:r>
      <w:r>
        <w:rPr>
          <w:rFonts w:hint="eastAsia" w:asciiTheme="minorEastAsia" w:hAnsiTheme="minorEastAsia" w:cstheme="minorEastAsia"/>
          <w:color w:val="auto"/>
          <w:sz w:val="20"/>
          <w:szCs w:val="20"/>
        </w:rPr>
        <w:t>也可参照使用。</w:t>
      </w:r>
    </w:p>
    <w:p w14:paraId="1F36E1B8">
      <w:pPr>
        <w:adjustRightInd w:val="0"/>
        <w:snapToGrid w:val="0"/>
        <w:jc w:val="left"/>
        <w:rPr>
          <w:rFonts w:asciiTheme="minorEastAsia" w:hAnsiTheme="minorEastAsia" w:cstheme="minorEastAsia"/>
          <w:sz w:val="20"/>
          <w:szCs w:val="20"/>
        </w:rPr>
      </w:pPr>
    </w:p>
    <w:p w14:paraId="413D9712">
      <w:pPr>
        <w:adjustRightInd w:val="0"/>
        <w:snapToGrid w:val="0"/>
        <w:jc w:val="left"/>
        <w:outlineLvl w:val="0"/>
        <w:rPr>
          <w:rFonts w:ascii="黑体" w:hAnsi="黑体" w:eastAsia="黑体" w:cs="黑体"/>
          <w:sz w:val="20"/>
          <w:szCs w:val="20"/>
        </w:rPr>
      </w:pPr>
      <w:bookmarkStart w:id="8" w:name="_Toc26062"/>
      <w:r>
        <w:rPr>
          <w:rFonts w:hint="eastAsia" w:ascii="黑体" w:hAnsi="黑体" w:eastAsia="黑体" w:cs="黑体"/>
          <w:sz w:val="20"/>
          <w:szCs w:val="20"/>
        </w:rPr>
        <w:t>2  规范性引用文件</w:t>
      </w:r>
      <w:bookmarkEnd w:id="8"/>
    </w:p>
    <w:p w14:paraId="308A77D3">
      <w:pPr>
        <w:adjustRightInd w:val="0"/>
        <w:snapToGrid w:val="0"/>
        <w:jc w:val="left"/>
        <w:outlineLvl w:val="0"/>
        <w:rPr>
          <w:rFonts w:ascii="黑体" w:hAnsi="黑体" w:eastAsia="黑体" w:cs="黑体"/>
          <w:sz w:val="20"/>
          <w:szCs w:val="20"/>
        </w:rPr>
      </w:pPr>
    </w:p>
    <w:p w14:paraId="547C5EAC">
      <w:pPr>
        <w:ind w:firstLine="400" w:firstLineChars="200"/>
        <w:rPr>
          <w:rFonts w:asciiTheme="minorEastAsia" w:hAnsiTheme="minorEastAsia" w:cstheme="minorEastAsia"/>
          <w:sz w:val="20"/>
          <w:szCs w:val="20"/>
        </w:rPr>
      </w:pPr>
      <w:r>
        <w:rPr>
          <w:rFonts w:asciiTheme="minorEastAsia" w:hAnsiTheme="minorEastAsia" w:cstheme="minorEastAsia"/>
          <w:sz w:val="2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3DA05EC">
      <w:pPr>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GB/T 191  包装储运图示标志</w:t>
      </w:r>
    </w:p>
    <w:p w14:paraId="2D696695">
      <w:pPr>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GB 2762  食品安全国家标准  食品中污染物限量</w:t>
      </w:r>
    </w:p>
    <w:p w14:paraId="5A2B593A">
      <w:pPr>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GB 2763  食品安全国家标准  食品中农药最大残留限量</w:t>
      </w:r>
    </w:p>
    <w:p w14:paraId="33614131">
      <w:pPr>
        <w:ind w:firstLine="400" w:firstLineChars="200"/>
        <w:rPr>
          <w:rFonts w:hint="eastAsia" w:asciiTheme="minorEastAsia" w:hAnsiTheme="minorEastAsia" w:cstheme="minorEastAsia"/>
          <w:color w:val="auto"/>
          <w:sz w:val="20"/>
          <w:szCs w:val="20"/>
        </w:rPr>
      </w:pPr>
      <w:r>
        <w:rPr>
          <w:rFonts w:hint="eastAsia" w:asciiTheme="minorEastAsia" w:hAnsiTheme="minorEastAsia" w:cstheme="minorEastAsia"/>
          <w:color w:val="auto"/>
          <w:sz w:val="20"/>
          <w:szCs w:val="20"/>
        </w:rPr>
        <w:t>GB 5009.8</w:t>
      </w:r>
      <w:r>
        <w:rPr>
          <w:rFonts w:hint="eastAsia" w:asciiTheme="minorEastAsia" w:hAnsiTheme="minorEastAsia" w:cstheme="minorEastAsia"/>
          <w:color w:val="auto"/>
          <w:sz w:val="20"/>
          <w:szCs w:val="20"/>
          <w:lang w:val="en-US" w:eastAsia="zh-CN"/>
        </w:rPr>
        <w:t>6</w:t>
      </w:r>
      <w:r>
        <w:rPr>
          <w:rFonts w:hint="eastAsia" w:asciiTheme="minorEastAsia" w:hAnsiTheme="minorEastAsia" w:cstheme="minorEastAsia"/>
          <w:color w:val="auto"/>
          <w:sz w:val="20"/>
          <w:szCs w:val="20"/>
        </w:rPr>
        <w:t xml:space="preserve">  食品安全国家标准</w:t>
      </w:r>
      <w:r>
        <w:rPr>
          <w:rFonts w:hint="eastAsia" w:asciiTheme="minorEastAsia" w:hAnsiTheme="minorEastAsia" w:cstheme="minorEastAsia"/>
          <w:color w:val="auto"/>
          <w:sz w:val="20"/>
          <w:szCs w:val="20"/>
          <w:lang w:val="en-US" w:eastAsia="zh-CN"/>
        </w:rPr>
        <w:t xml:space="preserve">  </w:t>
      </w:r>
      <w:r>
        <w:rPr>
          <w:rFonts w:hint="eastAsia" w:asciiTheme="minorEastAsia" w:hAnsiTheme="minorEastAsia" w:cstheme="minorEastAsia"/>
          <w:color w:val="auto"/>
          <w:sz w:val="20"/>
          <w:szCs w:val="20"/>
        </w:rPr>
        <w:t>食品中抗坏血酸的测定</w:t>
      </w:r>
    </w:p>
    <w:p w14:paraId="4EC7E465">
      <w:pPr>
        <w:ind w:firstLine="400" w:firstLineChars="200"/>
        <w:rPr>
          <w:rFonts w:hint="eastAsia" w:asciiTheme="minorEastAsia" w:hAnsiTheme="minorEastAsia" w:cstheme="minorEastAsia"/>
          <w:sz w:val="20"/>
          <w:szCs w:val="20"/>
        </w:rPr>
      </w:pPr>
      <w:bookmarkStart w:id="9" w:name="OLE_LINK8"/>
      <w:bookmarkStart w:id="10" w:name="OLE_LINK5"/>
      <w:r>
        <w:rPr>
          <w:rFonts w:hint="eastAsia" w:asciiTheme="minorEastAsia" w:hAnsiTheme="minorEastAsia" w:cstheme="minorEastAsia"/>
          <w:sz w:val="20"/>
          <w:szCs w:val="20"/>
        </w:rPr>
        <w:t xml:space="preserve">GB/T </w:t>
      </w:r>
      <w:r>
        <w:rPr>
          <w:rFonts w:hint="eastAsia" w:asciiTheme="minorEastAsia" w:hAnsiTheme="minorEastAsia" w:cstheme="minorEastAsia"/>
          <w:sz w:val="20"/>
          <w:szCs w:val="20"/>
          <w:lang w:val="en-US" w:eastAsia="zh-CN"/>
        </w:rPr>
        <w:t>8210</w:t>
      </w:r>
      <w:r>
        <w:rPr>
          <w:rFonts w:hint="eastAsia" w:asciiTheme="minorEastAsia" w:hAnsiTheme="minorEastAsia" w:cstheme="minorEastAsia"/>
          <w:sz w:val="20"/>
          <w:szCs w:val="20"/>
        </w:rPr>
        <w:t xml:space="preserve">  柑桔鲜果检验方法</w:t>
      </w:r>
    </w:p>
    <w:bookmarkEnd w:id="9"/>
    <w:p w14:paraId="0B5522D0">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 xml:space="preserve">GB/T </w:t>
      </w:r>
      <w:r>
        <w:rPr>
          <w:rFonts w:hint="eastAsia" w:asciiTheme="minorEastAsia" w:hAnsiTheme="minorEastAsia" w:cstheme="minorEastAsia"/>
          <w:sz w:val="20"/>
          <w:szCs w:val="20"/>
          <w:lang w:val="en-US" w:eastAsia="zh-CN"/>
        </w:rPr>
        <w:t>8855</w:t>
      </w:r>
      <w:r>
        <w:rPr>
          <w:rFonts w:hint="eastAsia" w:asciiTheme="minorEastAsia" w:hAnsiTheme="minorEastAsia" w:cstheme="minorEastAsia"/>
          <w:sz w:val="20"/>
          <w:szCs w:val="20"/>
        </w:rPr>
        <w:t xml:space="preserve">  新鲜果蔬取样方法</w:t>
      </w:r>
    </w:p>
    <w:bookmarkEnd w:id="10"/>
    <w:p w14:paraId="6F40BE6F">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 xml:space="preserve">GB/T </w:t>
      </w:r>
      <w:r>
        <w:rPr>
          <w:rFonts w:hint="eastAsia" w:asciiTheme="minorEastAsia" w:hAnsiTheme="minorEastAsia" w:cstheme="minorEastAsia"/>
          <w:sz w:val="20"/>
          <w:szCs w:val="20"/>
          <w:lang w:val="en-US" w:eastAsia="zh-CN"/>
        </w:rPr>
        <w:t>13607</w:t>
      </w:r>
      <w:r>
        <w:rPr>
          <w:rFonts w:hint="eastAsia" w:asciiTheme="minorEastAsia" w:hAnsiTheme="minorEastAsia" w:cstheme="minorEastAsia"/>
          <w:sz w:val="20"/>
          <w:szCs w:val="20"/>
        </w:rPr>
        <w:t xml:space="preserve">  苹果、柑桔包装</w:t>
      </w:r>
    </w:p>
    <w:p w14:paraId="14B9B4A7">
      <w:pPr>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 xml:space="preserve">GB/T </w:t>
      </w:r>
      <w:r>
        <w:rPr>
          <w:rFonts w:hint="eastAsia" w:asciiTheme="minorEastAsia" w:hAnsiTheme="minorEastAsia" w:cstheme="minorEastAsia"/>
          <w:sz w:val="20"/>
          <w:szCs w:val="20"/>
          <w:lang w:val="en-US" w:eastAsia="zh-CN"/>
        </w:rPr>
        <w:t>20355</w:t>
      </w:r>
      <w:r>
        <w:rPr>
          <w:rFonts w:hint="eastAsia" w:asciiTheme="minorEastAsia" w:hAnsiTheme="minorEastAsia" w:cstheme="minorEastAsia"/>
          <w:sz w:val="20"/>
          <w:szCs w:val="20"/>
        </w:rPr>
        <w:t xml:space="preserve"> </w:t>
      </w:r>
      <w:r>
        <w:rPr>
          <w:rFonts w:hint="eastAsia" w:asciiTheme="minorEastAsia" w:hAnsiTheme="minorEastAsia" w:cstheme="minorEastAsia"/>
          <w:sz w:val="20"/>
          <w:szCs w:val="20"/>
          <w:lang w:val="en-US" w:eastAsia="zh-CN"/>
        </w:rPr>
        <w:t xml:space="preserve"> </w:t>
      </w:r>
      <w:r>
        <w:rPr>
          <w:rFonts w:hint="eastAsia" w:asciiTheme="minorEastAsia" w:hAnsiTheme="minorEastAsia" w:cstheme="minorEastAsia"/>
          <w:sz w:val="20"/>
          <w:szCs w:val="20"/>
        </w:rPr>
        <w:t>地理标志产品</w:t>
      </w:r>
      <w:r>
        <w:rPr>
          <w:rFonts w:hint="eastAsia" w:asciiTheme="minorEastAsia" w:hAnsiTheme="minorEastAsia" w:cstheme="minorEastAsia"/>
          <w:sz w:val="20"/>
          <w:szCs w:val="20"/>
          <w:lang w:val="en-US" w:eastAsia="zh-CN"/>
        </w:rPr>
        <w:t xml:space="preserve"> </w:t>
      </w:r>
      <w:r>
        <w:rPr>
          <w:rFonts w:hint="eastAsia" w:asciiTheme="minorEastAsia" w:hAnsiTheme="minorEastAsia" w:cstheme="minorEastAsia"/>
          <w:sz w:val="20"/>
          <w:szCs w:val="20"/>
        </w:rPr>
        <w:t xml:space="preserve"> 赣南脐橙</w:t>
      </w:r>
    </w:p>
    <w:p w14:paraId="2E38360F">
      <w:pPr>
        <w:ind w:firstLine="400" w:firstLineChars="200"/>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rPr>
        <w:t xml:space="preserve">GB/T </w:t>
      </w:r>
      <w:r>
        <w:rPr>
          <w:rFonts w:hint="eastAsia" w:asciiTheme="minorEastAsia" w:hAnsiTheme="minorEastAsia" w:cstheme="minorEastAsia"/>
          <w:sz w:val="20"/>
          <w:szCs w:val="20"/>
          <w:lang w:val="en-US" w:eastAsia="zh-CN"/>
        </w:rPr>
        <w:t>21488</w:t>
      </w:r>
      <w:r>
        <w:rPr>
          <w:rFonts w:hint="eastAsia" w:asciiTheme="minorEastAsia" w:hAnsiTheme="minorEastAsia" w:cstheme="minorEastAsia"/>
          <w:sz w:val="20"/>
          <w:szCs w:val="20"/>
        </w:rPr>
        <w:t xml:space="preserve">  </w:t>
      </w:r>
      <w:r>
        <w:rPr>
          <w:rFonts w:hint="eastAsia" w:asciiTheme="minorEastAsia" w:hAnsiTheme="minorEastAsia" w:cstheme="minorEastAsia"/>
          <w:sz w:val="20"/>
          <w:szCs w:val="20"/>
          <w:lang w:val="en-US" w:eastAsia="zh-CN"/>
        </w:rPr>
        <w:t>脐橙</w:t>
      </w:r>
    </w:p>
    <w:p w14:paraId="388B8194">
      <w:pPr>
        <w:ind w:firstLine="400" w:firstLineChars="200"/>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rPr>
        <w:t>NY/T 1189</w:t>
      </w:r>
      <w:r>
        <w:rPr>
          <w:rFonts w:hint="eastAsia" w:asciiTheme="minorEastAsia" w:hAnsiTheme="minorEastAsia" w:cstheme="minorEastAsia"/>
          <w:sz w:val="20"/>
          <w:szCs w:val="20"/>
          <w:lang w:val="en-US" w:eastAsia="zh-CN"/>
        </w:rPr>
        <w:t xml:space="preserve">  </w:t>
      </w:r>
      <w:r>
        <w:rPr>
          <w:rFonts w:hint="eastAsia" w:asciiTheme="minorEastAsia" w:hAnsiTheme="minorEastAsia" w:cstheme="minorEastAsia"/>
          <w:sz w:val="20"/>
          <w:szCs w:val="20"/>
        </w:rPr>
        <w:t>柑橘储藏</w:t>
      </w:r>
    </w:p>
    <w:p w14:paraId="5CFC0268">
      <w:pPr>
        <w:ind w:firstLine="400" w:firstLineChars="200"/>
        <w:rPr>
          <w:rFonts w:hint="eastAsia" w:asciiTheme="minorEastAsia" w:hAnsiTheme="minorEastAsia" w:cstheme="minorEastAsia"/>
          <w:sz w:val="20"/>
          <w:szCs w:val="20"/>
        </w:rPr>
      </w:pPr>
    </w:p>
    <w:p w14:paraId="476740E3">
      <w:pPr>
        <w:adjustRightInd w:val="0"/>
        <w:snapToGrid w:val="0"/>
        <w:jc w:val="left"/>
        <w:outlineLvl w:val="0"/>
        <w:rPr>
          <w:rFonts w:ascii="黑体" w:hAnsi="黑体" w:eastAsia="黑体" w:cs="黑体"/>
          <w:sz w:val="20"/>
          <w:szCs w:val="20"/>
        </w:rPr>
      </w:pPr>
      <w:bookmarkStart w:id="11" w:name="_Toc12152"/>
      <w:r>
        <w:rPr>
          <w:rFonts w:hint="eastAsia" w:ascii="黑体" w:hAnsi="黑体" w:eastAsia="黑体" w:cs="黑体"/>
          <w:sz w:val="20"/>
          <w:szCs w:val="20"/>
        </w:rPr>
        <w:t>3  术语和定义</w:t>
      </w:r>
      <w:bookmarkEnd w:id="11"/>
    </w:p>
    <w:p w14:paraId="66638A3B">
      <w:pPr>
        <w:adjustRightInd w:val="0"/>
        <w:snapToGrid w:val="0"/>
        <w:jc w:val="left"/>
        <w:outlineLvl w:val="0"/>
        <w:rPr>
          <w:rFonts w:ascii="黑体" w:hAnsi="黑体" w:eastAsia="黑体" w:cs="黑体"/>
          <w:sz w:val="20"/>
          <w:szCs w:val="20"/>
        </w:rPr>
      </w:pPr>
    </w:p>
    <w:p w14:paraId="368DE91E">
      <w:pPr>
        <w:adjustRightInd w:val="0"/>
        <w:snapToGrid w:val="0"/>
        <w:ind w:firstLine="400" w:firstLineChars="200"/>
        <w:jc w:val="left"/>
        <w:rPr>
          <w:rFonts w:ascii="宋体" w:hAnsi="宋体" w:eastAsia="宋体" w:cs="宋体"/>
          <w:sz w:val="20"/>
          <w:szCs w:val="20"/>
        </w:rPr>
      </w:pPr>
      <w:r>
        <w:rPr>
          <w:rFonts w:hint="eastAsia" w:ascii="宋体" w:hAnsi="宋体" w:eastAsia="宋体" w:cs="宋体"/>
          <w:sz w:val="20"/>
          <w:szCs w:val="20"/>
        </w:rPr>
        <w:t xml:space="preserve">GB/T </w:t>
      </w:r>
      <w:r>
        <w:rPr>
          <w:rFonts w:hint="eastAsia" w:ascii="宋体" w:hAnsi="宋体" w:eastAsia="宋体" w:cs="宋体"/>
          <w:sz w:val="20"/>
          <w:szCs w:val="20"/>
          <w:lang w:val="en-US" w:eastAsia="zh-CN"/>
        </w:rPr>
        <w:t>21488</w:t>
      </w:r>
      <w:r>
        <w:rPr>
          <w:rFonts w:hint="eastAsia" w:ascii="宋体" w:hAnsi="宋体" w:eastAsia="宋体" w:cs="宋体"/>
          <w:sz w:val="20"/>
          <w:szCs w:val="20"/>
        </w:rPr>
        <w:t>界定的以及下列术语和定义适用于本文件。</w:t>
      </w:r>
    </w:p>
    <w:p w14:paraId="7F277B32">
      <w:pPr>
        <w:adjustRightInd w:val="0"/>
        <w:snapToGrid w:val="0"/>
        <w:spacing w:before="156" w:beforeLines="50" w:after="156" w:afterLines="50"/>
        <w:ind w:firstLine="400" w:firstLineChars="200"/>
        <w:jc w:val="left"/>
        <w:rPr>
          <w:rFonts w:ascii="宋体" w:hAnsi="宋体" w:eastAsia="宋体" w:cs="宋体"/>
          <w:color w:val="auto"/>
          <w:sz w:val="20"/>
          <w:szCs w:val="20"/>
        </w:rPr>
      </w:pPr>
      <w:r>
        <w:rPr>
          <w:rFonts w:hint="eastAsia" w:ascii="黑体" w:hAnsi="黑体" w:eastAsia="黑体" w:cs="黑体"/>
          <w:color w:val="auto"/>
          <w:sz w:val="20"/>
          <w:szCs w:val="20"/>
        </w:rPr>
        <w:t>赣南脐橙</w:t>
      </w:r>
      <w:r>
        <w:rPr>
          <w:rFonts w:hint="eastAsia" w:ascii="黑体" w:hAnsi="黑体" w:eastAsia="黑体" w:cs="黑体"/>
          <w:color w:val="auto"/>
          <w:sz w:val="20"/>
          <w:szCs w:val="20"/>
          <w:lang w:val="en-US" w:eastAsia="zh-CN"/>
        </w:rPr>
        <w:t xml:space="preserve"> </w:t>
      </w:r>
      <w:r>
        <w:rPr>
          <w:rFonts w:hint="default" w:ascii="Times New Roman" w:hAnsi="Times New Roman" w:eastAsia="黑体" w:cs="Times New Roman"/>
          <w:color w:val="auto"/>
          <w:sz w:val="20"/>
          <w:szCs w:val="20"/>
        </w:rPr>
        <w:t>Gannan navel orange</w:t>
      </w:r>
    </w:p>
    <w:p w14:paraId="5BF38B0D">
      <w:pPr>
        <w:adjustRightInd w:val="0"/>
        <w:snapToGrid w:val="0"/>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赣南脐橙指生产在地理标志产品保护范围内,具有果大形正,橙至橙红鲜艳,光洁美观,肉质脆嫩化渣,风味独特，浓甜芳香，无籽等特点的脐橙。</w:t>
      </w:r>
    </w:p>
    <w:p w14:paraId="23C163FA">
      <w:pPr>
        <w:adjustRightInd w:val="0"/>
        <w:snapToGrid w:val="0"/>
        <w:jc w:val="left"/>
        <w:rPr>
          <w:rFonts w:asciiTheme="minorEastAsia" w:hAnsiTheme="minorEastAsia" w:cstheme="minorEastAsia"/>
          <w:sz w:val="20"/>
          <w:szCs w:val="20"/>
        </w:rPr>
      </w:pPr>
    </w:p>
    <w:p w14:paraId="3C8B423A">
      <w:pPr>
        <w:adjustRightInd w:val="0"/>
        <w:snapToGrid w:val="0"/>
        <w:jc w:val="left"/>
        <w:outlineLvl w:val="0"/>
        <w:rPr>
          <w:rFonts w:ascii="黑体" w:hAnsi="黑体" w:eastAsia="黑体" w:cs="黑体"/>
          <w:sz w:val="20"/>
          <w:szCs w:val="20"/>
        </w:rPr>
      </w:pPr>
      <w:bookmarkStart w:id="12" w:name="_Toc2010"/>
      <w:r>
        <w:rPr>
          <w:rFonts w:hint="eastAsia" w:ascii="黑体" w:hAnsi="黑体" w:eastAsia="黑体" w:cs="黑体"/>
          <w:sz w:val="20"/>
          <w:szCs w:val="20"/>
        </w:rPr>
        <w:t>4  分级要求</w:t>
      </w:r>
      <w:bookmarkEnd w:id="12"/>
    </w:p>
    <w:p w14:paraId="2BF7F330">
      <w:pPr>
        <w:adjustRightInd w:val="0"/>
        <w:snapToGrid w:val="0"/>
        <w:jc w:val="left"/>
        <w:outlineLvl w:val="0"/>
        <w:rPr>
          <w:rFonts w:ascii="黑体" w:hAnsi="黑体" w:eastAsia="黑体" w:cs="黑体"/>
          <w:sz w:val="20"/>
          <w:szCs w:val="20"/>
        </w:rPr>
      </w:pPr>
    </w:p>
    <w:p w14:paraId="1EE08217">
      <w:pPr>
        <w:adjustRightInd w:val="0"/>
        <w:snapToGrid w:val="0"/>
        <w:spacing w:after="156" w:afterLines="50"/>
        <w:ind w:firstLine="400" w:firstLineChars="200"/>
        <w:jc w:val="left"/>
        <w:rPr>
          <w:rFonts w:ascii="黑体" w:hAnsi="黑体" w:eastAsia="黑体" w:cs="黑体"/>
          <w:sz w:val="20"/>
          <w:szCs w:val="20"/>
        </w:rPr>
      </w:pPr>
      <w:r>
        <w:rPr>
          <w:rFonts w:hint="eastAsia" w:ascii="黑体" w:hAnsi="黑体" w:eastAsia="黑体" w:cs="黑体"/>
          <w:sz w:val="20"/>
          <w:szCs w:val="20"/>
        </w:rPr>
        <w:t>4.1  追溯要求</w:t>
      </w:r>
    </w:p>
    <w:p w14:paraId="0501E926">
      <w:pPr>
        <w:adjustRightInd w:val="0"/>
        <w:snapToGrid w:val="0"/>
        <w:ind w:firstLine="400" w:firstLineChars="200"/>
        <w:jc w:val="left"/>
        <w:rPr>
          <w:rFonts w:asciiTheme="minorEastAsia" w:hAnsiTheme="minorEastAsia" w:cstheme="minorEastAsia"/>
          <w:sz w:val="20"/>
          <w:szCs w:val="20"/>
        </w:rPr>
      </w:pPr>
      <w:r>
        <w:rPr>
          <w:rFonts w:hint="eastAsia" w:asciiTheme="minorEastAsia" w:hAnsiTheme="minorEastAsia" w:cstheme="minorEastAsia"/>
          <w:sz w:val="20"/>
          <w:szCs w:val="20"/>
        </w:rPr>
        <w:t>具有承诺达标合格证或其它追溯码可追溯至种植基地。</w:t>
      </w:r>
    </w:p>
    <w:p w14:paraId="7E508833">
      <w:pPr>
        <w:spacing w:before="156" w:beforeLines="50" w:after="156" w:afterLines="50"/>
        <w:ind w:firstLine="400" w:firstLineChars="200"/>
        <w:jc w:val="left"/>
        <w:rPr>
          <w:rFonts w:ascii="黑体" w:hAnsi="黑体" w:eastAsia="黑体" w:cs="黑体"/>
          <w:sz w:val="20"/>
          <w:szCs w:val="20"/>
        </w:rPr>
      </w:pPr>
      <w:r>
        <w:rPr>
          <w:rFonts w:hint="eastAsia" w:ascii="黑体" w:hAnsi="黑体" w:eastAsia="黑体" w:cs="黑体"/>
          <w:sz w:val="20"/>
          <w:szCs w:val="20"/>
        </w:rPr>
        <w:t>4.2  安全要求</w:t>
      </w:r>
    </w:p>
    <w:p w14:paraId="3C107978">
      <w:pPr>
        <w:ind w:firstLine="400" w:firstLineChars="200"/>
        <w:rPr>
          <w:rFonts w:asciiTheme="minorEastAsia" w:hAnsiTheme="minorEastAsia" w:cstheme="minorEastAsia"/>
          <w:sz w:val="20"/>
          <w:szCs w:val="20"/>
        </w:rPr>
      </w:pPr>
      <w:r>
        <w:rPr>
          <w:rFonts w:hint="eastAsia" w:ascii="黑体" w:hAnsi="黑体" w:eastAsia="黑体" w:cs="黑体"/>
          <w:sz w:val="20"/>
          <w:szCs w:val="20"/>
        </w:rPr>
        <w:t>4.2.1</w:t>
      </w:r>
      <w:r>
        <w:rPr>
          <w:rFonts w:hint="eastAsia" w:asciiTheme="minorEastAsia" w:hAnsiTheme="minorEastAsia" w:cstheme="minorEastAsia"/>
          <w:sz w:val="20"/>
          <w:szCs w:val="20"/>
        </w:rPr>
        <w:t xml:space="preserve">  污染物限量应符合GB 2762的规定。</w:t>
      </w:r>
    </w:p>
    <w:p w14:paraId="5D80D5F4">
      <w:pPr>
        <w:ind w:firstLine="400" w:firstLineChars="200"/>
        <w:rPr>
          <w:rFonts w:asciiTheme="minorEastAsia" w:hAnsiTheme="minorEastAsia" w:cstheme="minorEastAsia"/>
          <w:sz w:val="20"/>
          <w:szCs w:val="20"/>
        </w:rPr>
      </w:pPr>
      <w:r>
        <w:rPr>
          <w:rFonts w:hint="eastAsia" w:ascii="黑体" w:hAnsi="黑体" w:eastAsia="黑体" w:cs="黑体"/>
          <w:sz w:val="20"/>
          <w:szCs w:val="20"/>
        </w:rPr>
        <w:t>4.2.2</w:t>
      </w:r>
      <w:r>
        <w:rPr>
          <w:rFonts w:hint="eastAsia" w:asciiTheme="minorEastAsia" w:hAnsiTheme="minorEastAsia" w:cstheme="minorEastAsia"/>
          <w:sz w:val="20"/>
          <w:szCs w:val="20"/>
        </w:rPr>
        <w:t xml:space="preserve">  农药最大残留限量应符合GB 2763的规定。</w:t>
      </w:r>
    </w:p>
    <w:p w14:paraId="2E41622B">
      <w:pPr>
        <w:adjustRightInd w:val="0"/>
        <w:snapToGrid w:val="0"/>
        <w:spacing w:before="156" w:beforeLines="50" w:after="156" w:afterLines="50"/>
        <w:ind w:firstLine="403"/>
        <w:jc w:val="left"/>
        <w:rPr>
          <w:rFonts w:ascii="黑体" w:hAnsi="黑体" w:eastAsia="黑体" w:cs="黑体"/>
          <w:sz w:val="20"/>
          <w:szCs w:val="20"/>
        </w:rPr>
      </w:pPr>
      <w:r>
        <w:rPr>
          <w:rFonts w:hint="eastAsia" w:ascii="黑体" w:hAnsi="黑体" w:eastAsia="黑体" w:cs="黑体"/>
          <w:sz w:val="20"/>
          <w:szCs w:val="20"/>
        </w:rPr>
        <w:t xml:space="preserve">4.3  </w:t>
      </w:r>
      <w:r>
        <w:rPr>
          <w:rFonts w:hint="eastAsia" w:ascii="黑体" w:hAnsi="黑体" w:eastAsia="黑体" w:cs="黑体"/>
          <w:sz w:val="20"/>
          <w:szCs w:val="20"/>
          <w:lang w:val="en-US" w:eastAsia="zh-CN"/>
        </w:rPr>
        <w:t>感官</w:t>
      </w:r>
      <w:r>
        <w:rPr>
          <w:rFonts w:hint="eastAsia" w:ascii="黑体" w:hAnsi="黑体" w:eastAsia="黑体" w:cs="黑体"/>
          <w:sz w:val="20"/>
          <w:szCs w:val="20"/>
        </w:rPr>
        <w:t>要求</w:t>
      </w:r>
    </w:p>
    <w:p w14:paraId="5A6DB978">
      <w:pPr>
        <w:adjustRightInd w:val="0"/>
        <w:snapToGrid w:val="0"/>
        <w:ind w:firstLine="400" w:firstLineChars="200"/>
        <w:jc w:val="left"/>
        <w:rPr>
          <w:rFonts w:hint="eastAsia" w:asciiTheme="minorEastAsia" w:hAnsiTheme="minorEastAsia" w:cstheme="minorEastAsia"/>
          <w:sz w:val="20"/>
          <w:szCs w:val="20"/>
        </w:rPr>
      </w:pPr>
      <w:bookmarkStart w:id="13" w:name="OLE_LINK2"/>
      <w:r>
        <w:rPr>
          <w:rFonts w:hint="eastAsia" w:asciiTheme="minorEastAsia" w:hAnsiTheme="minorEastAsia" w:cstheme="minorEastAsia"/>
          <w:sz w:val="20"/>
          <w:szCs w:val="20"/>
          <w:lang w:val="en-US" w:eastAsia="zh-CN"/>
        </w:rPr>
        <w:t>赣南脐橙</w:t>
      </w:r>
      <w:bookmarkEnd w:id="13"/>
      <w:r>
        <w:rPr>
          <w:rFonts w:hint="eastAsia" w:asciiTheme="minorEastAsia" w:hAnsiTheme="minorEastAsia" w:cstheme="minorEastAsia"/>
          <w:sz w:val="20"/>
          <w:szCs w:val="20"/>
        </w:rPr>
        <w:t>分为三个等级，各</w:t>
      </w:r>
      <w:bookmarkStart w:id="14" w:name="OLE_LINK6"/>
      <w:r>
        <w:rPr>
          <w:rFonts w:hint="eastAsia" w:asciiTheme="minorEastAsia" w:hAnsiTheme="minorEastAsia" w:cstheme="minorEastAsia"/>
          <w:sz w:val="20"/>
          <w:szCs w:val="20"/>
          <w:lang w:val="en-US" w:eastAsia="zh-CN"/>
        </w:rPr>
        <w:t>感官</w:t>
      </w:r>
      <w:r>
        <w:rPr>
          <w:rFonts w:hint="eastAsia" w:asciiTheme="minorEastAsia" w:hAnsiTheme="minorEastAsia" w:cstheme="minorEastAsia"/>
          <w:sz w:val="20"/>
          <w:szCs w:val="20"/>
        </w:rPr>
        <w:t>等级</w:t>
      </w:r>
      <w:bookmarkEnd w:id="14"/>
      <w:r>
        <w:rPr>
          <w:rFonts w:hint="eastAsia" w:asciiTheme="minorEastAsia" w:hAnsiTheme="minorEastAsia" w:cstheme="minorEastAsia"/>
          <w:sz w:val="20"/>
          <w:szCs w:val="20"/>
        </w:rPr>
        <w:t>要求见表1。</w:t>
      </w:r>
      <w:r>
        <w:rPr>
          <w:rFonts w:hint="eastAsia" w:asciiTheme="minorEastAsia" w:hAnsiTheme="minorEastAsia" w:cstheme="minorEastAsia"/>
          <w:sz w:val="20"/>
          <w:szCs w:val="20"/>
        </w:rPr>
        <w:tab/>
      </w:r>
    </w:p>
    <w:p w14:paraId="2381A939">
      <w:pPr>
        <w:adjustRightInd w:val="0"/>
        <w:snapToGrid w:val="0"/>
        <w:spacing w:before="156" w:beforeLines="50" w:after="156" w:afterLines="50"/>
        <w:jc w:val="center"/>
        <w:rPr>
          <w:rFonts w:asciiTheme="minorEastAsia" w:hAnsiTheme="minorEastAsia" w:cstheme="minorEastAsia"/>
          <w:sz w:val="20"/>
          <w:szCs w:val="20"/>
        </w:rPr>
      </w:pPr>
      <w:r>
        <w:rPr>
          <w:rFonts w:hint="eastAsia" w:ascii="黑体" w:hAnsi="黑体" w:eastAsia="黑体" w:cs="黑体"/>
          <w:sz w:val="20"/>
          <w:szCs w:val="20"/>
        </w:rPr>
        <w:t>表1  赣南脐橙</w:t>
      </w:r>
      <w:r>
        <w:rPr>
          <w:rFonts w:hint="eastAsia" w:ascii="黑体" w:hAnsi="黑体" w:eastAsia="黑体" w:cs="黑体"/>
          <w:sz w:val="20"/>
          <w:szCs w:val="20"/>
          <w:lang w:val="en-US" w:eastAsia="zh-CN"/>
        </w:rPr>
        <w:t>感官</w:t>
      </w:r>
      <w:r>
        <w:rPr>
          <w:rFonts w:hint="eastAsia" w:ascii="黑体" w:hAnsi="黑体" w:eastAsia="黑体" w:cs="黑体"/>
          <w:sz w:val="20"/>
          <w:szCs w:val="20"/>
        </w:rPr>
        <w:t>等级要求</w:t>
      </w:r>
    </w:p>
    <w:tbl>
      <w:tblPr>
        <w:tblStyle w:val="8"/>
        <w:tblW w:w="489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348"/>
        <w:gridCol w:w="2134"/>
        <w:gridCol w:w="2134"/>
        <w:gridCol w:w="2137"/>
      </w:tblGrid>
      <w:tr w14:paraId="4BD044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16" w:type="pct"/>
            <w:vMerge w:val="restart"/>
            <w:tcBorders>
              <w:top w:val="single" w:color="auto" w:sz="8" w:space="0"/>
              <w:left w:val="single" w:color="auto" w:sz="8" w:space="0"/>
              <w:bottom w:val="single" w:color="auto" w:sz="4" w:space="0"/>
              <w:right w:val="single" w:color="auto" w:sz="4" w:space="0"/>
            </w:tcBorders>
            <w:vAlign w:val="center"/>
          </w:tcPr>
          <w:p w14:paraId="45A31B92">
            <w:pPr>
              <w:adjustRightInd w:val="0"/>
              <w:snapToGrid w:val="0"/>
              <w:jc w:val="center"/>
              <w:textAlignment w:val="center"/>
              <w:rPr>
                <w:rFonts w:asciiTheme="minorEastAsia" w:hAnsiTheme="minorEastAsia" w:cstheme="minorEastAsia"/>
                <w:sz w:val="20"/>
                <w:szCs w:val="20"/>
              </w:rPr>
            </w:pPr>
            <w:r>
              <w:rPr>
                <w:rFonts w:hint="eastAsia" w:asciiTheme="minorEastAsia" w:hAnsiTheme="minorEastAsia" w:cstheme="minorEastAsia"/>
                <w:sz w:val="20"/>
                <w:szCs w:val="20"/>
              </w:rPr>
              <w:t>项  目</w:t>
            </w:r>
          </w:p>
        </w:tc>
        <w:tc>
          <w:tcPr>
            <w:tcW w:w="3283" w:type="pct"/>
            <w:gridSpan w:val="3"/>
            <w:tcBorders>
              <w:top w:val="single" w:color="auto" w:sz="8" w:space="0"/>
              <w:left w:val="single" w:color="auto" w:sz="4" w:space="0"/>
              <w:bottom w:val="single" w:color="auto" w:sz="4" w:space="0"/>
              <w:right w:val="single" w:color="auto" w:sz="8" w:space="0"/>
            </w:tcBorders>
            <w:vAlign w:val="center"/>
          </w:tcPr>
          <w:p w14:paraId="2EBACE56">
            <w:pPr>
              <w:adjustRightInd w:val="0"/>
              <w:snapToGrid w:val="0"/>
              <w:jc w:val="center"/>
              <w:textAlignment w:val="center"/>
              <w:rPr>
                <w:rFonts w:asciiTheme="minorEastAsia" w:hAnsiTheme="minorEastAsia" w:cstheme="minorEastAsia"/>
                <w:sz w:val="20"/>
                <w:szCs w:val="20"/>
              </w:rPr>
            </w:pPr>
            <w:r>
              <w:rPr>
                <w:rFonts w:hint="eastAsia" w:asciiTheme="minorEastAsia" w:hAnsiTheme="minorEastAsia" w:cstheme="minorEastAsia"/>
                <w:sz w:val="20"/>
                <w:szCs w:val="20"/>
              </w:rPr>
              <w:t>等      级</w:t>
            </w:r>
          </w:p>
        </w:tc>
      </w:tr>
      <w:tr w14:paraId="24BC31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16" w:type="pct"/>
            <w:vMerge w:val="continue"/>
            <w:tcBorders>
              <w:top w:val="single" w:color="auto" w:sz="4" w:space="0"/>
              <w:left w:val="single" w:color="auto" w:sz="8" w:space="0"/>
              <w:bottom w:val="single" w:color="auto" w:sz="8" w:space="0"/>
              <w:right w:val="single" w:color="auto" w:sz="4" w:space="0"/>
            </w:tcBorders>
            <w:vAlign w:val="center"/>
          </w:tcPr>
          <w:p w14:paraId="24C85634">
            <w:pPr>
              <w:adjustRightInd w:val="0"/>
              <w:snapToGrid w:val="0"/>
              <w:jc w:val="center"/>
              <w:textAlignment w:val="center"/>
              <w:rPr>
                <w:rFonts w:asciiTheme="minorEastAsia" w:hAnsiTheme="minorEastAsia" w:cstheme="minorEastAsia"/>
                <w:sz w:val="20"/>
                <w:szCs w:val="20"/>
              </w:rPr>
            </w:pPr>
          </w:p>
        </w:tc>
        <w:tc>
          <w:tcPr>
            <w:tcW w:w="1094" w:type="pct"/>
            <w:tcBorders>
              <w:top w:val="single" w:color="auto" w:sz="4" w:space="0"/>
              <w:left w:val="single" w:color="auto" w:sz="4" w:space="0"/>
              <w:bottom w:val="single" w:color="auto" w:sz="8" w:space="0"/>
              <w:right w:val="single" w:color="auto" w:sz="4" w:space="0"/>
            </w:tcBorders>
            <w:vAlign w:val="center"/>
          </w:tcPr>
          <w:p w14:paraId="361C6689">
            <w:pPr>
              <w:adjustRightInd w:val="0"/>
              <w:snapToGrid w:val="0"/>
              <w:jc w:val="center"/>
              <w:textAlignment w:val="center"/>
              <w:rPr>
                <w:rFonts w:asciiTheme="minorEastAsia" w:hAnsiTheme="minorEastAsia" w:cstheme="minorEastAsia"/>
                <w:sz w:val="20"/>
                <w:szCs w:val="20"/>
              </w:rPr>
            </w:pPr>
            <w:r>
              <w:rPr>
                <w:rFonts w:hint="eastAsia" w:asciiTheme="minorEastAsia" w:hAnsiTheme="minorEastAsia" w:cstheme="minorEastAsia"/>
                <w:sz w:val="20"/>
                <w:szCs w:val="20"/>
              </w:rPr>
              <w:t>A+</w:t>
            </w:r>
          </w:p>
        </w:tc>
        <w:tc>
          <w:tcPr>
            <w:tcW w:w="1094" w:type="pct"/>
            <w:tcBorders>
              <w:top w:val="single" w:color="auto" w:sz="4" w:space="0"/>
              <w:left w:val="single" w:color="auto" w:sz="4" w:space="0"/>
              <w:bottom w:val="single" w:color="auto" w:sz="8" w:space="0"/>
              <w:right w:val="single" w:color="auto" w:sz="4" w:space="0"/>
            </w:tcBorders>
            <w:vAlign w:val="center"/>
          </w:tcPr>
          <w:p w14:paraId="5DA8E7C9">
            <w:pPr>
              <w:adjustRightInd w:val="0"/>
              <w:snapToGrid w:val="0"/>
              <w:jc w:val="center"/>
              <w:textAlignment w:val="center"/>
              <w:rPr>
                <w:rFonts w:asciiTheme="minorEastAsia" w:hAnsiTheme="minorEastAsia" w:cstheme="minorEastAsia"/>
                <w:sz w:val="20"/>
                <w:szCs w:val="20"/>
              </w:rPr>
            </w:pPr>
            <w:r>
              <w:rPr>
                <w:rFonts w:hint="eastAsia" w:asciiTheme="minorEastAsia" w:hAnsiTheme="minorEastAsia" w:cstheme="minorEastAsia"/>
                <w:sz w:val="20"/>
                <w:szCs w:val="20"/>
              </w:rPr>
              <w:t>A</w:t>
            </w:r>
          </w:p>
        </w:tc>
        <w:tc>
          <w:tcPr>
            <w:tcW w:w="1095" w:type="pct"/>
            <w:tcBorders>
              <w:top w:val="single" w:color="auto" w:sz="4" w:space="0"/>
              <w:left w:val="single" w:color="auto" w:sz="4" w:space="0"/>
              <w:bottom w:val="single" w:color="auto" w:sz="8" w:space="0"/>
              <w:right w:val="single" w:color="auto" w:sz="8" w:space="0"/>
            </w:tcBorders>
            <w:vAlign w:val="center"/>
          </w:tcPr>
          <w:p w14:paraId="57298BE0">
            <w:pPr>
              <w:adjustRightInd w:val="0"/>
              <w:snapToGrid w:val="0"/>
              <w:jc w:val="center"/>
              <w:textAlignment w:val="center"/>
              <w:rPr>
                <w:rFonts w:asciiTheme="minorEastAsia" w:hAnsiTheme="minorEastAsia" w:cstheme="minorEastAsia"/>
                <w:sz w:val="20"/>
                <w:szCs w:val="20"/>
              </w:rPr>
            </w:pPr>
            <w:r>
              <w:rPr>
                <w:rFonts w:hint="eastAsia" w:asciiTheme="minorEastAsia" w:hAnsiTheme="minorEastAsia" w:cstheme="minorEastAsia"/>
                <w:sz w:val="20"/>
                <w:szCs w:val="20"/>
              </w:rPr>
              <w:t>B</w:t>
            </w:r>
          </w:p>
        </w:tc>
      </w:tr>
      <w:tr w14:paraId="00CF5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16" w:type="pct"/>
            <w:tcBorders>
              <w:top w:val="single" w:color="auto" w:sz="8" w:space="0"/>
              <w:tl2br w:val="nil"/>
              <w:tr2bl w:val="nil"/>
            </w:tcBorders>
            <w:vAlign w:val="center"/>
          </w:tcPr>
          <w:p w14:paraId="5E17C59A">
            <w:pPr>
              <w:adjustRightInd w:val="0"/>
              <w:snapToGrid w:val="0"/>
              <w:textAlignment w:val="center"/>
              <w:rPr>
                <w:rFonts w:asciiTheme="minorEastAsia" w:hAnsiTheme="minorEastAsia" w:cstheme="minorEastAsia"/>
                <w:sz w:val="20"/>
                <w:szCs w:val="20"/>
              </w:rPr>
            </w:pPr>
            <w:r>
              <w:rPr>
                <w:rFonts w:hint="eastAsia" w:asciiTheme="minorEastAsia" w:hAnsiTheme="minorEastAsia" w:cstheme="minorEastAsia"/>
                <w:sz w:val="20"/>
                <w:szCs w:val="20"/>
              </w:rPr>
              <w:t xml:space="preserve">果形                </w:t>
            </w:r>
          </w:p>
        </w:tc>
        <w:tc>
          <w:tcPr>
            <w:tcW w:w="3283" w:type="pct"/>
            <w:gridSpan w:val="3"/>
            <w:tcBorders>
              <w:top w:val="single" w:color="auto" w:sz="8" w:space="0"/>
              <w:tl2br w:val="nil"/>
              <w:tr2bl w:val="nil"/>
            </w:tcBorders>
            <w:vAlign w:val="center"/>
          </w:tcPr>
          <w:p w14:paraId="39B11EEA">
            <w:pPr>
              <w:adjustRightInd w:val="0"/>
              <w:snapToGrid w:val="0"/>
              <w:jc w:val="center"/>
              <w:textAlignment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正常,具有该品种特征</w:t>
            </w:r>
          </w:p>
        </w:tc>
      </w:tr>
      <w:tr w14:paraId="5BB9CE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16" w:type="pct"/>
            <w:tcBorders>
              <w:tl2br w:val="nil"/>
              <w:tr2bl w:val="nil"/>
            </w:tcBorders>
            <w:vAlign w:val="center"/>
          </w:tcPr>
          <w:p w14:paraId="4CD7AB99">
            <w:pPr>
              <w:adjustRightInd w:val="0"/>
              <w:snapToGrid w:val="0"/>
              <w:jc w:val="left"/>
              <w:textAlignment w:val="center"/>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果面</w:t>
            </w:r>
            <w:r>
              <w:rPr>
                <w:rFonts w:hint="eastAsia" w:asciiTheme="minorEastAsia" w:hAnsiTheme="minorEastAsia" w:cstheme="minorEastAsia"/>
                <w:sz w:val="20"/>
                <w:szCs w:val="20"/>
              </w:rPr>
              <w:t xml:space="preserve">            </w:t>
            </w:r>
          </w:p>
        </w:tc>
        <w:tc>
          <w:tcPr>
            <w:tcW w:w="3283" w:type="pct"/>
            <w:gridSpan w:val="3"/>
            <w:tcBorders>
              <w:tl2br w:val="nil"/>
              <w:tr2bl w:val="nil"/>
            </w:tcBorders>
            <w:vAlign w:val="center"/>
          </w:tcPr>
          <w:p w14:paraId="310D3423">
            <w:pPr>
              <w:adjustRightInd w:val="0"/>
              <w:snapToGrid w:val="0"/>
              <w:jc w:val="center"/>
              <w:textAlignment w:val="center"/>
              <w:rPr>
                <w:rFonts w:hint="eastAsia"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果面洁净，果皮光滑，无机械伤、裂果、腐烂现象</w:t>
            </w:r>
          </w:p>
        </w:tc>
      </w:tr>
      <w:tr w14:paraId="7E8969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16" w:type="pct"/>
            <w:tcBorders>
              <w:tl2br w:val="nil"/>
              <w:tr2bl w:val="nil"/>
            </w:tcBorders>
            <w:vAlign w:val="center"/>
          </w:tcPr>
          <w:p w14:paraId="1023FD5D">
            <w:pPr>
              <w:adjustRightInd w:val="0"/>
              <w:snapToGrid w:val="0"/>
              <w:textAlignment w:val="center"/>
              <w:rPr>
                <w:rFonts w:asciiTheme="minorEastAsia" w:hAnsiTheme="minorEastAsia" w:cstheme="minorEastAsia"/>
                <w:sz w:val="20"/>
                <w:szCs w:val="20"/>
              </w:rPr>
            </w:pPr>
            <w:r>
              <w:rPr>
                <w:rFonts w:hint="eastAsia" w:asciiTheme="minorEastAsia" w:hAnsiTheme="minorEastAsia" w:cstheme="minorEastAsia"/>
                <w:sz w:val="20"/>
                <w:szCs w:val="20"/>
                <w:lang w:val="en-US" w:eastAsia="zh-CN"/>
              </w:rPr>
              <w:t>色泽</w:t>
            </w:r>
            <w:r>
              <w:rPr>
                <w:rFonts w:hint="eastAsia" w:asciiTheme="minorEastAsia" w:hAnsiTheme="minorEastAsia" w:cstheme="minorEastAsia"/>
                <w:sz w:val="20"/>
                <w:szCs w:val="20"/>
              </w:rPr>
              <w:t xml:space="preserve">         </w:t>
            </w:r>
          </w:p>
        </w:tc>
        <w:tc>
          <w:tcPr>
            <w:tcW w:w="3283" w:type="pct"/>
            <w:gridSpan w:val="3"/>
            <w:tcBorders>
              <w:tl2br w:val="nil"/>
              <w:tr2bl w:val="nil"/>
            </w:tcBorders>
            <w:vAlign w:val="center"/>
          </w:tcPr>
          <w:p w14:paraId="7BDFE20E">
            <w:pPr>
              <w:adjustRightInd w:val="0"/>
              <w:snapToGrid w:val="0"/>
              <w:jc w:val="center"/>
              <w:textAlignment w:val="center"/>
              <w:rPr>
                <w:rFonts w:hint="default" w:asciiTheme="minorEastAsia" w:hAnsiTheme="minorEastAsia" w:eastAsiaTheme="minorEastAsia" w:cstheme="minorEastAsia"/>
                <w:color w:val="0000FF"/>
                <w:sz w:val="20"/>
                <w:szCs w:val="20"/>
                <w:lang w:val="en-US" w:eastAsia="zh-CN"/>
              </w:rPr>
            </w:pPr>
            <w:r>
              <w:rPr>
                <w:rFonts w:hint="eastAsia" w:asciiTheme="minorEastAsia" w:hAnsiTheme="minorEastAsia" w:cstheme="minorEastAsia"/>
                <w:color w:val="auto"/>
                <w:sz w:val="20"/>
                <w:szCs w:val="20"/>
                <w:lang w:val="en-US" w:eastAsia="zh-CN"/>
              </w:rPr>
              <w:t>着色均匀，具有该品种成熟时固有色泽</w:t>
            </w:r>
          </w:p>
        </w:tc>
      </w:tr>
      <w:tr w14:paraId="39EBC3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16" w:type="pct"/>
            <w:tcBorders>
              <w:tl2br w:val="nil"/>
              <w:tr2bl w:val="nil"/>
            </w:tcBorders>
            <w:vAlign w:val="center"/>
          </w:tcPr>
          <w:p w14:paraId="449BB4DD">
            <w:pPr>
              <w:adjustRightInd w:val="0"/>
              <w:snapToGrid w:val="0"/>
              <w:textAlignment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风味</w:t>
            </w:r>
          </w:p>
        </w:tc>
        <w:tc>
          <w:tcPr>
            <w:tcW w:w="3283" w:type="pct"/>
            <w:gridSpan w:val="3"/>
            <w:tcBorders>
              <w:tl2br w:val="nil"/>
              <w:tr2bl w:val="nil"/>
            </w:tcBorders>
            <w:vAlign w:val="center"/>
          </w:tcPr>
          <w:p w14:paraId="21A8B7E0">
            <w:pPr>
              <w:adjustRightInd w:val="0"/>
              <w:snapToGrid w:val="0"/>
              <w:jc w:val="center"/>
              <w:textAlignment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甘甜多汁</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肉质脆嫩</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质香味浓</w:t>
            </w:r>
          </w:p>
        </w:tc>
      </w:tr>
    </w:tbl>
    <w:p w14:paraId="5FF53AB9">
      <w:pPr>
        <w:adjustRightInd w:val="0"/>
        <w:snapToGrid w:val="0"/>
        <w:spacing w:after="156" w:afterLines="50"/>
        <w:jc w:val="left"/>
        <w:rPr>
          <w:rFonts w:ascii="黑体" w:hAnsi="黑体" w:eastAsia="黑体" w:cs="黑体"/>
          <w:sz w:val="20"/>
          <w:szCs w:val="20"/>
        </w:rPr>
      </w:pPr>
    </w:p>
    <w:p w14:paraId="34459888">
      <w:pPr>
        <w:adjustRightInd w:val="0"/>
        <w:snapToGrid w:val="0"/>
        <w:spacing w:after="156" w:afterLines="50"/>
        <w:ind w:firstLine="400" w:firstLineChars="200"/>
        <w:jc w:val="left"/>
        <w:rPr>
          <w:rFonts w:ascii="黑体" w:hAnsi="黑体" w:eastAsia="黑体" w:cs="黑体"/>
          <w:sz w:val="20"/>
          <w:szCs w:val="20"/>
        </w:rPr>
      </w:pPr>
      <w:r>
        <w:rPr>
          <w:rFonts w:hint="eastAsia" w:ascii="黑体" w:hAnsi="黑体" w:eastAsia="黑体" w:cs="黑体"/>
          <w:sz w:val="20"/>
          <w:szCs w:val="20"/>
        </w:rPr>
        <w:t>4.4  品质等级要求</w:t>
      </w:r>
    </w:p>
    <w:p w14:paraId="7F85A178">
      <w:pPr>
        <w:adjustRightInd w:val="0"/>
        <w:snapToGrid w:val="0"/>
        <w:ind w:firstLine="400" w:firstLineChars="200"/>
        <w:jc w:val="left"/>
        <w:rPr>
          <w:rFonts w:asciiTheme="minorEastAsia" w:hAnsiTheme="minorEastAsia" w:cstheme="minorEastAsia"/>
          <w:sz w:val="20"/>
          <w:szCs w:val="20"/>
        </w:rPr>
      </w:pPr>
      <w:r>
        <w:rPr>
          <w:rFonts w:hint="eastAsia" w:asciiTheme="minorEastAsia" w:hAnsiTheme="minorEastAsia" w:cstheme="minorEastAsia"/>
          <w:sz w:val="20"/>
          <w:szCs w:val="20"/>
          <w:lang w:val="en-US" w:eastAsia="zh-CN"/>
        </w:rPr>
        <w:t>赣南脐橙</w:t>
      </w:r>
      <w:r>
        <w:rPr>
          <w:rFonts w:hint="eastAsia" w:asciiTheme="minorEastAsia" w:hAnsiTheme="minorEastAsia" w:cstheme="minorEastAsia"/>
          <w:sz w:val="20"/>
          <w:szCs w:val="20"/>
        </w:rPr>
        <w:t>分为三个等级，各品质等级要求见表2。</w:t>
      </w:r>
    </w:p>
    <w:p w14:paraId="71D98BC2">
      <w:pPr>
        <w:adjustRightInd w:val="0"/>
        <w:snapToGrid w:val="0"/>
        <w:spacing w:before="156" w:beforeLines="50" w:after="156" w:afterLines="50"/>
        <w:jc w:val="center"/>
        <w:rPr>
          <w:rFonts w:ascii="黑体" w:hAnsi="黑体" w:eastAsia="黑体" w:cs="黑体"/>
          <w:sz w:val="20"/>
          <w:szCs w:val="20"/>
        </w:rPr>
      </w:pPr>
      <w:r>
        <w:rPr>
          <w:rFonts w:hint="eastAsia" w:ascii="黑体" w:hAnsi="黑体" w:eastAsia="黑体" w:cs="黑体"/>
          <w:sz w:val="20"/>
          <w:szCs w:val="20"/>
        </w:rPr>
        <w:t>表2  赣南脐橙品质等级要求</w:t>
      </w:r>
    </w:p>
    <w:tbl>
      <w:tblPr>
        <w:tblStyle w:val="8"/>
        <w:tblW w:w="489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334"/>
        <w:gridCol w:w="2318"/>
        <w:gridCol w:w="2029"/>
        <w:gridCol w:w="2072"/>
      </w:tblGrid>
      <w:tr w14:paraId="090D68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9" w:type="pct"/>
            <w:vMerge w:val="restart"/>
            <w:tcBorders>
              <w:top w:val="single" w:color="auto" w:sz="8" w:space="0"/>
              <w:left w:val="single" w:color="auto" w:sz="8" w:space="0"/>
              <w:bottom w:val="single" w:color="auto" w:sz="4" w:space="0"/>
              <w:right w:val="single" w:color="auto" w:sz="4" w:space="0"/>
            </w:tcBorders>
            <w:vAlign w:val="center"/>
          </w:tcPr>
          <w:p w14:paraId="57FB1E16">
            <w:pPr>
              <w:adjustRightInd w:val="0"/>
              <w:snapToGrid w:val="0"/>
              <w:jc w:val="center"/>
              <w:textAlignment w:val="center"/>
              <w:rPr>
                <w:rFonts w:asciiTheme="minorEastAsia" w:hAnsiTheme="minorEastAsia" w:cstheme="minorEastAsia"/>
                <w:sz w:val="20"/>
                <w:szCs w:val="20"/>
              </w:rPr>
            </w:pPr>
            <w:r>
              <w:rPr>
                <w:rFonts w:hint="eastAsia" w:asciiTheme="minorEastAsia" w:hAnsiTheme="minorEastAsia" w:cstheme="minorEastAsia"/>
                <w:sz w:val="20"/>
                <w:szCs w:val="20"/>
              </w:rPr>
              <w:t>项  目</w:t>
            </w:r>
          </w:p>
        </w:tc>
        <w:tc>
          <w:tcPr>
            <w:tcW w:w="3290" w:type="pct"/>
            <w:gridSpan w:val="3"/>
            <w:tcBorders>
              <w:top w:val="single" w:color="auto" w:sz="8" w:space="0"/>
              <w:left w:val="single" w:color="auto" w:sz="4" w:space="0"/>
              <w:bottom w:val="single" w:color="auto" w:sz="4" w:space="0"/>
              <w:right w:val="single" w:color="auto" w:sz="8" w:space="0"/>
            </w:tcBorders>
            <w:vAlign w:val="center"/>
          </w:tcPr>
          <w:p w14:paraId="698F8B8E">
            <w:pPr>
              <w:adjustRightInd w:val="0"/>
              <w:snapToGrid w:val="0"/>
              <w:jc w:val="center"/>
              <w:textAlignment w:val="center"/>
              <w:rPr>
                <w:rFonts w:asciiTheme="minorEastAsia" w:hAnsiTheme="minorEastAsia" w:cstheme="minorEastAsia"/>
                <w:sz w:val="20"/>
                <w:szCs w:val="20"/>
              </w:rPr>
            </w:pPr>
            <w:r>
              <w:rPr>
                <w:rFonts w:hint="eastAsia" w:asciiTheme="minorEastAsia" w:hAnsiTheme="minorEastAsia" w:cstheme="minorEastAsia"/>
                <w:sz w:val="20"/>
                <w:szCs w:val="20"/>
              </w:rPr>
              <w:t>等      级</w:t>
            </w:r>
          </w:p>
        </w:tc>
      </w:tr>
      <w:tr w14:paraId="10F38F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9" w:type="pct"/>
            <w:vMerge w:val="continue"/>
            <w:tcBorders>
              <w:top w:val="single" w:color="auto" w:sz="4" w:space="0"/>
              <w:left w:val="single" w:color="auto" w:sz="8" w:space="0"/>
              <w:bottom w:val="single" w:color="auto" w:sz="8" w:space="0"/>
              <w:right w:val="single" w:color="auto" w:sz="4" w:space="0"/>
            </w:tcBorders>
            <w:vAlign w:val="center"/>
          </w:tcPr>
          <w:p w14:paraId="301647D1">
            <w:pPr>
              <w:adjustRightInd w:val="0"/>
              <w:snapToGrid w:val="0"/>
              <w:jc w:val="center"/>
              <w:textAlignment w:val="center"/>
              <w:rPr>
                <w:rFonts w:asciiTheme="minorEastAsia" w:hAnsiTheme="minorEastAsia" w:cstheme="minorEastAsia"/>
                <w:sz w:val="20"/>
                <w:szCs w:val="20"/>
              </w:rPr>
            </w:pPr>
          </w:p>
        </w:tc>
        <w:tc>
          <w:tcPr>
            <w:tcW w:w="1188" w:type="pct"/>
            <w:tcBorders>
              <w:top w:val="single" w:color="auto" w:sz="4" w:space="0"/>
              <w:left w:val="single" w:color="auto" w:sz="4" w:space="0"/>
              <w:bottom w:val="single" w:color="auto" w:sz="8" w:space="0"/>
              <w:right w:val="single" w:color="auto" w:sz="4" w:space="0"/>
            </w:tcBorders>
            <w:vAlign w:val="center"/>
          </w:tcPr>
          <w:p w14:paraId="720CE226">
            <w:pPr>
              <w:adjustRightInd w:val="0"/>
              <w:snapToGrid w:val="0"/>
              <w:jc w:val="center"/>
              <w:textAlignment w:val="center"/>
              <w:rPr>
                <w:rFonts w:asciiTheme="minorEastAsia" w:hAnsiTheme="minorEastAsia" w:cstheme="minorEastAsia"/>
                <w:sz w:val="20"/>
                <w:szCs w:val="20"/>
              </w:rPr>
            </w:pPr>
            <w:r>
              <w:rPr>
                <w:rFonts w:hint="eastAsia" w:asciiTheme="minorEastAsia" w:hAnsiTheme="minorEastAsia" w:cstheme="minorEastAsia"/>
                <w:sz w:val="20"/>
                <w:szCs w:val="20"/>
              </w:rPr>
              <w:t>A+</w:t>
            </w:r>
          </w:p>
        </w:tc>
        <w:tc>
          <w:tcPr>
            <w:tcW w:w="1040" w:type="pct"/>
            <w:tcBorders>
              <w:top w:val="single" w:color="auto" w:sz="4" w:space="0"/>
              <w:left w:val="single" w:color="auto" w:sz="4" w:space="0"/>
              <w:bottom w:val="single" w:color="auto" w:sz="8" w:space="0"/>
              <w:right w:val="single" w:color="auto" w:sz="4" w:space="0"/>
            </w:tcBorders>
            <w:vAlign w:val="center"/>
          </w:tcPr>
          <w:p w14:paraId="1BC7B6AB">
            <w:pPr>
              <w:adjustRightInd w:val="0"/>
              <w:snapToGrid w:val="0"/>
              <w:jc w:val="center"/>
              <w:textAlignment w:val="center"/>
              <w:rPr>
                <w:rFonts w:asciiTheme="minorEastAsia" w:hAnsiTheme="minorEastAsia" w:cstheme="minorEastAsia"/>
                <w:sz w:val="20"/>
                <w:szCs w:val="20"/>
              </w:rPr>
            </w:pPr>
            <w:r>
              <w:rPr>
                <w:rFonts w:hint="eastAsia" w:asciiTheme="minorEastAsia" w:hAnsiTheme="minorEastAsia" w:cstheme="minorEastAsia"/>
                <w:sz w:val="20"/>
                <w:szCs w:val="20"/>
              </w:rPr>
              <w:t>A</w:t>
            </w:r>
          </w:p>
        </w:tc>
        <w:tc>
          <w:tcPr>
            <w:tcW w:w="1062" w:type="pct"/>
            <w:tcBorders>
              <w:top w:val="single" w:color="auto" w:sz="4" w:space="0"/>
              <w:left w:val="single" w:color="auto" w:sz="4" w:space="0"/>
              <w:bottom w:val="single" w:color="auto" w:sz="8" w:space="0"/>
              <w:right w:val="single" w:color="auto" w:sz="8" w:space="0"/>
            </w:tcBorders>
            <w:vAlign w:val="center"/>
          </w:tcPr>
          <w:p w14:paraId="7217129C">
            <w:pPr>
              <w:adjustRightInd w:val="0"/>
              <w:snapToGrid w:val="0"/>
              <w:jc w:val="center"/>
              <w:textAlignment w:val="center"/>
              <w:rPr>
                <w:rFonts w:asciiTheme="minorEastAsia" w:hAnsiTheme="minorEastAsia" w:cstheme="minorEastAsia"/>
                <w:sz w:val="20"/>
                <w:szCs w:val="20"/>
              </w:rPr>
            </w:pPr>
            <w:r>
              <w:rPr>
                <w:rFonts w:hint="eastAsia" w:asciiTheme="minorEastAsia" w:hAnsiTheme="minorEastAsia" w:cstheme="minorEastAsia"/>
                <w:sz w:val="20"/>
                <w:szCs w:val="20"/>
              </w:rPr>
              <w:t>B</w:t>
            </w:r>
          </w:p>
        </w:tc>
      </w:tr>
      <w:tr w14:paraId="2EF8DC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9" w:type="pct"/>
            <w:tcBorders>
              <w:top w:val="single" w:color="auto" w:sz="8" w:space="0"/>
              <w:tl2br w:val="nil"/>
              <w:tr2bl w:val="nil"/>
            </w:tcBorders>
            <w:vAlign w:val="center"/>
          </w:tcPr>
          <w:p w14:paraId="7BEF36E3">
            <w:pPr>
              <w:adjustRightInd w:val="0"/>
              <w:snapToGrid w:val="0"/>
              <w:jc w:val="left"/>
              <w:textAlignment w:val="center"/>
              <w:rPr>
                <w:rFonts w:asciiTheme="minorEastAsia" w:hAnsiTheme="minorEastAsia" w:cstheme="minorEastAsia"/>
                <w:sz w:val="20"/>
                <w:szCs w:val="20"/>
              </w:rPr>
            </w:pPr>
            <w:r>
              <w:rPr>
                <w:rFonts w:hint="eastAsia" w:asciiTheme="minorEastAsia" w:hAnsiTheme="minorEastAsia" w:cstheme="minorEastAsia"/>
                <w:sz w:val="20"/>
                <w:szCs w:val="20"/>
              </w:rPr>
              <w:t>可食率（%）                    ≥</w:t>
            </w:r>
          </w:p>
        </w:tc>
        <w:tc>
          <w:tcPr>
            <w:tcW w:w="1188" w:type="pct"/>
            <w:tcBorders>
              <w:top w:val="single" w:color="auto" w:sz="8" w:space="0"/>
              <w:tl2br w:val="nil"/>
              <w:tr2bl w:val="nil"/>
            </w:tcBorders>
            <w:vAlign w:val="center"/>
          </w:tcPr>
          <w:p w14:paraId="0D7120FB">
            <w:pPr>
              <w:adjustRightInd w:val="0"/>
              <w:snapToGrid w:val="0"/>
              <w:jc w:val="center"/>
              <w:rPr>
                <w:rFonts w:hint="default" w:asciiTheme="minorEastAsia" w:hAnsiTheme="minorEastAsia" w:cstheme="minorEastAsia"/>
                <w:sz w:val="20"/>
                <w:szCs w:val="20"/>
                <w:lang w:val="en-US"/>
              </w:rPr>
            </w:pPr>
            <w:r>
              <w:rPr>
                <w:rFonts w:hint="eastAsia" w:asciiTheme="minorEastAsia" w:hAnsiTheme="minorEastAsia" w:cstheme="minorEastAsia"/>
                <w:sz w:val="20"/>
                <w:szCs w:val="20"/>
                <w:lang w:val="en-US" w:eastAsia="zh-CN"/>
              </w:rPr>
              <w:t>75.0</w:t>
            </w:r>
          </w:p>
        </w:tc>
        <w:tc>
          <w:tcPr>
            <w:tcW w:w="1040" w:type="pct"/>
            <w:tcBorders>
              <w:top w:val="single" w:color="auto" w:sz="8" w:space="0"/>
              <w:tl2br w:val="nil"/>
              <w:tr2bl w:val="nil"/>
            </w:tcBorders>
            <w:vAlign w:val="center"/>
          </w:tcPr>
          <w:p w14:paraId="3836BB66">
            <w:pPr>
              <w:adjustRightInd w:val="0"/>
              <w:snapToGrid w:val="0"/>
              <w:jc w:val="center"/>
              <w:rPr>
                <w:rFonts w:hint="default" w:asciiTheme="minorEastAsia" w:hAnsiTheme="minorEastAsia" w:cstheme="minorEastAsia"/>
                <w:sz w:val="20"/>
                <w:szCs w:val="20"/>
                <w:lang w:val="en-US"/>
              </w:rPr>
            </w:pPr>
            <w:r>
              <w:rPr>
                <w:rFonts w:hint="eastAsia" w:asciiTheme="minorEastAsia" w:hAnsiTheme="minorEastAsia" w:cstheme="minorEastAsia"/>
                <w:sz w:val="20"/>
                <w:szCs w:val="20"/>
                <w:lang w:val="en-US" w:eastAsia="zh-CN"/>
              </w:rPr>
              <w:t>70.0</w:t>
            </w:r>
          </w:p>
        </w:tc>
        <w:tc>
          <w:tcPr>
            <w:tcW w:w="1062" w:type="pct"/>
            <w:tcBorders>
              <w:top w:val="single" w:color="auto" w:sz="8" w:space="0"/>
              <w:tl2br w:val="nil"/>
              <w:tr2bl w:val="nil"/>
            </w:tcBorders>
            <w:vAlign w:val="center"/>
          </w:tcPr>
          <w:p w14:paraId="552A77EC">
            <w:pPr>
              <w:adjustRightInd w:val="0"/>
              <w:snapToGrid w:val="0"/>
              <w:jc w:val="center"/>
              <w:rPr>
                <w:rFonts w:hint="default" w:asciiTheme="minorEastAsia" w:hAnsiTheme="minorEastAsia" w:cstheme="minorEastAsia"/>
                <w:sz w:val="20"/>
                <w:szCs w:val="20"/>
                <w:lang w:val="en-US"/>
              </w:rPr>
            </w:pPr>
            <w:r>
              <w:rPr>
                <w:rFonts w:hint="eastAsia" w:asciiTheme="minorEastAsia" w:hAnsiTheme="minorEastAsia" w:cstheme="minorEastAsia"/>
                <w:sz w:val="20"/>
                <w:szCs w:val="20"/>
                <w:lang w:val="en-US" w:eastAsia="zh-CN"/>
              </w:rPr>
              <w:t>65.0</w:t>
            </w:r>
          </w:p>
        </w:tc>
      </w:tr>
      <w:tr w14:paraId="3AE268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9" w:type="pct"/>
            <w:tcBorders>
              <w:tl2br w:val="nil"/>
              <w:tr2bl w:val="nil"/>
            </w:tcBorders>
            <w:vAlign w:val="center"/>
          </w:tcPr>
          <w:p w14:paraId="3FB43DA1">
            <w:pPr>
              <w:adjustRightInd w:val="0"/>
              <w:snapToGrid w:val="0"/>
              <w:jc w:val="left"/>
              <w:textAlignment w:val="center"/>
              <w:rPr>
                <w:rFonts w:asciiTheme="minorEastAsia" w:hAnsiTheme="minorEastAsia" w:cstheme="minorEastAsia"/>
                <w:sz w:val="20"/>
                <w:szCs w:val="20"/>
              </w:rPr>
            </w:pPr>
            <w:r>
              <w:rPr>
                <w:rFonts w:hint="eastAsia" w:asciiTheme="minorEastAsia" w:hAnsiTheme="minorEastAsia" w:cstheme="minorEastAsia"/>
                <w:sz w:val="20"/>
                <w:szCs w:val="20"/>
              </w:rPr>
              <w:t>果实横径(mm)                 ≥</w:t>
            </w:r>
          </w:p>
        </w:tc>
        <w:tc>
          <w:tcPr>
            <w:tcW w:w="1188" w:type="pct"/>
            <w:tcBorders>
              <w:tl2br w:val="nil"/>
              <w:tr2bl w:val="nil"/>
            </w:tcBorders>
            <w:vAlign w:val="center"/>
          </w:tcPr>
          <w:p w14:paraId="44A37A5B">
            <w:pPr>
              <w:adjustRightInd w:val="0"/>
              <w:snapToGrid w:val="0"/>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80.0</w:t>
            </w:r>
          </w:p>
        </w:tc>
        <w:tc>
          <w:tcPr>
            <w:tcW w:w="1040" w:type="pct"/>
            <w:tcBorders>
              <w:tl2br w:val="nil"/>
              <w:tr2bl w:val="nil"/>
            </w:tcBorders>
            <w:vAlign w:val="center"/>
          </w:tcPr>
          <w:p w14:paraId="73315A89">
            <w:pPr>
              <w:adjustRightInd w:val="0"/>
              <w:snapToGrid w:val="0"/>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70.0</w:t>
            </w:r>
          </w:p>
        </w:tc>
        <w:tc>
          <w:tcPr>
            <w:tcW w:w="1062" w:type="pct"/>
            <w:tcBorders>
              <w:tl2br w:val="nil"/>
              <w:tr2bl w:val="nil"/>
            </w:tcBorders>
            <w:vAlign w:val="center"/>
          </w:tcPr>
          <w:p w14:paraId="32FC2011">
            <w:pPr>
              <w:adjustRightInd w:val="0"/>
              <w:snapToGrid w:val="0"/>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65.0</w:t>
            </w:r>
          </w:p>
        </w:tc>
      </w:tr>
      <w:tr w14:paraId="776D23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9" w:type="pct"/>
            <w:tcBorders>
              <w:tl2br w:val="nil"/>
              <w:tr2bl w:val="nil"/>
            </w:tcBorders>
            <w:vAlign w:val="center"/>
          </w:tcPr>
          <w:p w14:paraId="0A9ED6E3">
            <w:pPr>
              <w:adjustRightInd w:val="0"/>
              <w:snapToGrid w:val="0"/>
              <w:jc w:val="left"/>
              <w:textAlignment w:val="center"/>
              <w:rPr>
                <w:rFonts w:asciiTheme="minorEastAsia" w:hAnsiTheme="minorEastAsia" w:cstheme="minorEastAsia"/>
                <w:sz w:val="20"/>
                <w:szCs w:val="20"/>
              </w:rPr>
            </w:pPr>
            <w:r>
              <w:rPr>
                <w:rFonts w:hint="eastAsia" w:asciiTheme="minorEastAsia" w:hAnsiTheme="minorEastAsia" w:cstheme="minorEastAsia"/>
                <w:sz w:val="20"/>
                <w:szCs w:val="20"/>
              </w:rPr>
              <w:t xml:space="preserve">可溶性固形物（%）              ≥           </w:t>
            </w:r>
          </w:p>
        </w:tc>
        <w:tc>
          <w:tcPr>
            <w:tcW w:w="1188" w:type="pct"/>
            <w:tcBorders>
              <w:tl2br w:val="nil"/>
              <w:tr2bl w:val="nil"/>
            </w:tcBorders>
            <w:vAlign w:val="center"/>
          </w:tcPr>
          <w:p w14:paraId="0DA8B385">
            <w:pPr>
              <w:adjustRightInd w:val="0"/>
              <w:snapToGrid w:val="0"/>
              <w:jc w:val="center"/>
              <w:rPr>
                <w:rFonts w:asciiTheme="minorEastAsia" w:hAnsiTheme="minorEastAsia" w:cstheme="minorEastAsia"/>
                <w:sz w:val="20"/>
                <w:szCs w:val="20"/>
              </w:rPr>
            </w:pPr>
            <w:r>
              <w:rPr>
                <w:rFonts w:hint="eastAsia" w:asciiTheme="minorEastAsia" w:hAnsiTheme="minorEastAsia" w:cstheme="minorEastAsia"/>
                <w:sz w:val="20"/>
                <w:szCs w:val="20"/>
                <w:lang w:val="en-US" w:eastAsia="zh-CN"/>
              </w:rPr>
              <w:t>14</w:t>
            </w:r>
            <w:r>
              <w:rPr>
                <w:rFonts w:asciiTheme="minorEastAsia" w:hAnsiTheme="minorEastAsia" w:eastAsiaTheme="minorEastAsia" w:cstheme="minorEastAsia"/>
                <w:sz w:val="20"/>
                <w:szCs w:val="20"/>
              </w:rPr>
              <w:t>.0</w:t>
            </w:r>
          </w:p>
        </w:tc>
        <w:tc>
          <w:tcPr>
            <w:tcW w:w="1040" w:type="pct"/>
            <w:tcBorders>
              <w:tl2br w:val="nil"/>
              <w:tr2bl w:val="nil"/>
            </w:tcBorders>
            <w:vAlign w:val="center"/>
          </w:tcPr>
          <w:p w14:paraId="467F6C38">
            <w:pPr>
              <w:adjustRightInd w:val="0"/>
              <w:snapToGrid w:val="0"/>
              <w:jc w:val="center"/>
              <w:rPr>
                <w:rFonts w:asciiTheme="minorEastAsia" w:hAnsiTheme="minorEastAsia" w:cstheme="minorEastAsia"/>
                <w:sz w:val="20"/>
                <w:szCs w:val="20"/>
              </w:rPr>
            </w:pPr>
            <w:r>
              <w:rPr>
                <w:rFonts w:hint="eastAsia" w:asciiTheme="minorEastAsia" w:hAnsiTheme="minorEastAsia" w:cstheme="minorEastAsia"/>
                <w:sz w:val="20"/>
                <w:szCs w:val="20"/>
                <w:lang w:val="en-US" w:eastAsia="zh-CN"/>
              </w:rPr>
              <w:t>12</w:t>
            </w:r>
            <w:r>
              <w:rPr>
                <w:rFonts w:hint="eastAsia" w:asciiTheme="minorEastAsia" w:hAnsiTheme="minorEastAsia" w:eastAsiaTheme="minorEastAsia" w:cstheme="minorEastAsia"/>
                <w:sz w:val="20"/>
                <w:szCs w:val="20"/>
              </w:rPr>
              <w:t>.0</w:t>
            </w:r>
          </w:p>
        </w:tc>
        <w:tc>
          <w:tcPr>
            <w:tcW w:w="1062" w:type="pct"/>
            <w:tcBorders>
              <w:tl2br w:val="nil"/>
              <w:tr2bl w:val="nil"/>
            </w:tcBorders>
            <w:vAlign w:val="center"/>
          </w:tcPr>
          <w:p w14:paraId="607DCB4B">
            <w:pPr>
              <w:adjustRightInd w:val="0"/>
              <w:snapToGrid w:val="0"/>
              <w:jc w:val="center"/>
              <w:rPr>
                <w:rFonts w:asciiTheme="minorEastAsia" w:hAnsiTheme="minorEastAsia" w:cstheme="minorEastAsia"/>
                <w:sz w:val="20"/>
                <w:szCs w:val="20"/>
              </w:rPr>
            </w:pPr>
            <w:r>
              <w:rPr>
                <w:rFonts w:hint="eastAsia" w:asciiTheme="minorEastAsia" w:hAnsiTheme="minorEastAsia" w:cstheme="minorEastAsia"/>
                <w:sz w:val="20"/>
                <w:szCs w:val="20"/>
                <w:lang w:val="en-US" w:eastAsia="zh-CN"/>
              </w:rPr>
              <w:t>10</w:t>
            </w:r>
            <w:r>
              <w:rPr>
                <w:rFonts w:hint="eastAsia" w:asciiTheme="minorEastAsia" w:hAnsiTheme="minorEastAsia" w:eastAsiaTheme="minorEastAsia" w:cstheme="minorEastAsia"/>
                <w:sz w:val="20"/>
                <w:szCs w:val="20"/>
              </w:rPr>
              <w:t>.0</w:t>
            </w:r>
          </w:p>
        </w:tc>
      </w:tr>
      <w:tr w14:paraId="43A3D4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9" w:type="pct"/>
            <w:tcBorders>
              <w:tl2br w:val="nil"/>
              <w:tr2bl w:val="nil"/>
            </w:tcBorders>
            <w:vAlign w:val="center"/>
          </w:tcPr>
          <w:p w14:paraId="154E77B6">
            <w:pPr>
              <w:adjustRightInd w:val="0"/>
              <w:snapToGrid w:val="0"/>
              <w:jc w:val="left"/>
              <w:textAlignment w:val="center"/>
              <w:rPr>
                <w:rFonts w:hint="eastAsia" w:asciiTheme="minorEastAsia" w:hAnsiTheme="minorEastAsia" w:cstheme="minorEastAsia"/>
                <w:sz w:val="20"/>
                <w:szCs w:val="20"/>
              </w:rPr>
            </w:pPr>
            <w:r>
              <w:rPr>
                <w:rFonts w:hint="eastAsia" w:asciiTheme="minorEastAsia" w:hAnsiTheme="minorEastAsia" w:eastAsiaTheme="minorEastAsia" w:cstheme="minorEastAsia"/>
                <w:sz w:val="20"/>
                <w:szCs w:val="20"/>
              </w:rPr>
              <w:t>可滴定酸（</w:t>
            </w:r>
            <w:r>
              <w:rPr>
                <w:rFonts w:hint="eastAsia" w:asciiTheme="minorEastAsia" w:hAnsiTheme="minorEastAsia" w:eastAsiaTheme="minorEastAsia" w:cstheme="minorEastAsia"/>
                <w:sz w:val="20"/>
                <w:szCs w:val="20"/>
                <w:lang w:val="en-US" w:eastAsia="zh-CN"/>
              </w:rPr>
              <w:t>g/100mL</w:t>
            </w:r>
            <w:r>
              <w:rPr>
                <w:rFonts w:hint="eastAsia" w:asciiTheme="minorEastAsia" w:hAnsiTheme="minorEastAsia" w:eastAsiaTheme="minorEastAsia" w:cstheme="minorEastAsia"/>
                <w:sz w:val="20"/>
                <w:szCs w:val="20"/>
              </w:rPr>
              <w:t>）</w:t>
            </w:r>
            <w:r>
              <w:rPr>
                <w:rFonts w:hint="eastAsia" w:asciiTheme="minorEastAsia" w:hAnsiTheme="minorEastAsia" w:cstheme="minorEastAsia"/>
                <w:sz w:val="20"/>
                <w:szCs w:val="20"/>
                <w:lang w:val="en-US" w:eastAsia="zh-CN"/>
              </w:rPr>
              <w:t xml:space="preserve">            </w:t>
            </w:r>
            <w:r>
              <w:rPr>
                <w:rFonts w:hint="eastAsia" w:asciiTheme="minorEastAsia" w:hAnsiTheme="minorEastAsia" w:cstheme="minorEastAsia"/>
                <w:sz w:val="20"/>
                <w:szCs w:val="20"/>
              </w:rPr>
              <w:t>≤</w:t>
            </w:r>
          </w:p>
        </w:tc>
        <w:tc>
          <w:tcPr>
            <w:tcW w:w="1188" w:type="pct"/>
            <w:tcBorders>
              <w:tl2br w:val="nil"/>
              <w:tr2bl w:val="nil"/>
            </w:tcBorders>
            <w:vAlign w:val="center"/>
          </w:tcPr>
          <w:p w14:paraId="45888B5A">
            <w:pPr>
              <w:adjustRightInd w:val="0"/>
              <w:snapToGrid w:val="0"/>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rPr>
              <w:t>0.</w:t>
            </w:r>
            <w:r>
              <w:rPr>
                <w:rFonts w:hint="eastAsia" w:asciiTheme="minorEastAsia" w:hAnsiTheme="minorEastAsia" w:eastAsiaTheme="minorEastAsia" w:cstheme="minorEastAsia"/>
                <w:sz w:val="20"/>
                <w:szCs w:val="20"/>
                <w:lang w:val="en-US" w:eastAsia="zh-CN"/>
              </w:rPr>
              <w:t>50</w:t>
            </w:r>
          </w:p>
        </w:tc>
        <w:tc>
          <w:tcPr>
            <w:tcW w:w="1040" w:type="pct"/>
            <w:tcBorders>
              <w:tl2br w:val="nil"/>
              <w:tr2bl w:val="nil"/>
            </w:tcBorders>
            <w:vAlign w:val="center"/>
          </w:tcPr>
          <w:p w14:paraId="7B80330C">
            <w:pPr>
              <w:adjustRightInd w:val="0"/>
              <w:snapToGrid w:val="0"/>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rPr>
              <w:t>0.</w:t>
            </w:r>
            <w:r>
              <w:rPr>
                <w:rFonts w:hint="eastAsia" w:asciiTheme="minorEastAsia" w:hAnsiTheme="minorEastAsia" w:eastAsiaTheme="minorEastAsia" w:cstheme="minorEastAsia"/>
                <w:sz w:val="20"/>
                <w:szCs w:val="20"/>
                <w:lang w:val="en-US" w:eastAsia="zh-CN"/>
              </w:rPr>
              <w:t>60</w:t>
            </w:r>
          </w:p>
        </w:tc>
        <w:tc>
          <w:tcPr>
            <w:tcW w:w="1062" w:type="pct"/>
            <w:tcBorders>
              <w:tl2br w:val="nil"/>
              <w:tr2bl w:val="nil"/>
            </w:tcBorders>
            <w:vAlign w:val="center"/>
          </w:tcPr>
          <w:p w14:paraId="1CA06B1A">
            <w:pPr>
              <w:adjustRightInd w:val="0"/>
              <w:snapToGrid w:val="0"/>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rPr>
              <w:t>0.</w:t>
            </w:r>
            <w:r>
              <w:rPr>
                <w:rFonts w:hint="eastAsia" w:asciiTheme="minorEastAsia" w:hAnsiTheme="minorEastAsia" w:eastAsiaTheme="minorEastAsia" w:cstheme="minorEastAsia"/>
                <w:sz w:val="20"/>
                <w:szCs w:val="20"/>
                <w:lang w:val="en-US" w:eastAsia="zh-CN"/>
              </w:rPr>
              <w:t>80</w:t>
            </w:r>
          </w:p>
        </w:tc>
      </w:tr>
      <w:tr w14:paraId="170EEE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9" w:type="pct"/>
            <w:tcBorders>
              <w:tl2br w:val="nil"/>
              <w:tr2bl w:val="nil"/>
            </w:tcBorders>
            <w:vAlign w:val="center"/>
          </w:tcPr>
          <w:p w14:paraId="34E78233">
            <w:pPr>
              <w:adjustRightInd w:val="0"/>
              <w:snapToGrid w:val="0"/>
              <w:jc w:val="left"/>
              <w:textAlignment w:val="center"/>
              <w:rPr>
                <w:rFonts w:asciiTheme="minorEastAsia" w:hAnsiTheme="minorEastAsia" w:cstheme="minorEastAsia"/>
                <w:sz w:val="20"/>
                <w:szCs w:val="20"/>
              </w:rPr>
            </w:pPr>
            <w:bookmarkStart w:id="15" w:name="OLE_LINK3"/>
            <w:r>
              <w:rPr>
                <w:rFonts w:hint="eastAsia" w:asciiTheme="minorEastAsia" w:hAnsiTheme="minorEastAsia" w:eastAsiaTheme="minorEastAsia" w:cstheme="minorEastAsia"/>
                <w:sz w:val="20"/>
                <w:szCs w:val="20"/>
              </w:rPr>
              <w:t>维生素C</w:t>
            </w:r>
            <w:bookmarkEnd w:id="15"/>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m</w:t>
            </w:r>
            <w:r>
              <w:rPr>
                <w:rFonts w:hint="eastAsia" w:asciiTheme="minorEastAsia" w:hAnsiTheme="minorEastAsia" w:eastAsiaTheme="minorEastAsia" w:cstheme="minorEastAsia"/>
                <w:sz w:val="20"/>
                <w:szCs w:val="20"/>
              </w:rPr>
              <w:t>g/100g）</w:t>
            </w:r>
            <w:r>
              <w:rPr>
                <w:rFonts w:hint="eastAsia" w:asciiTheme="minorEastAsia" w:hAnsiTheme="minorEastAsia" w:cstheme="minorEastAsia"/>
                <w:sz w:val="20"/>
                <w:szCs w:val="20"/>
              </w:rPr>
              <w:t xml:space="preserve">      </w:t>
            </w:r>
            <w:r>
              <w:rPr>
                <w:rFonts w:hint="eastAsia" w:asciiTheme="minorEastAsia" w:hAnsiTheme="minorEastAsia" w:cstheme="minorEastAsia"/>
                <w:sz w:val="20"/>
                <w:szCs w:val="20"/>
                <w:lang w:val="en-US" w:eastAsia="zh-CN"/>
              </w:rPr>
              <w:t xml:space="preserve">   </w:t>
            </w:r>
            <w:r>
              <w:rPr>
                <w:rFonts w:hint="eastAsia" w:asciiTheme="minorEastAsia" w:hAnsiTheme="minorEastAsia" w:cstheme="minorEastAsia"/>
                <w:sz w:val="20"/>
                <w:szCs w:val="20"/>
              </w:rPr>
              <w:t xml:space="preserve">  ≥</w:t>
            </w:r>
          </w:p>
        </w:tc>
        <w:tc>
          <w:tcPr>
            <w:tcW w:w="3290" w:type="pct"/>
            <w:gridSpan w:val="3"/>
            <w:tcBorders>
              <w:tl2br w:val="nil"/>
              <w:tr2bl w:val="nil"/>
            </w:tcBorders>
            <w:vAlign w:val="center"/>
          </w:tcPr>
          <w:p w14:paraId="42B5D47E">
            <w:pPr>
              <w:adjustRightInd w:val="0"/>
              <w:snapToGrid w:val="0"/>
              <w:jc w:val="center"/>
              <w:textAlignment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45.0</w:t>
            </w:r>
          </w:p>
        </w:tc>
      </w:tr>
    </w:tbl>
    <w:p w14:paraId="56B5676B">
      <w:pPr>
        <w:spacing w:before="156" w:beforeLines="50" w:after="156" w:afterLines="50"/>
        <w:jc w:val="left"/>
        <w:outlineLvl w:val="0"/>
        <w:rPr>
          <w:rFonts w:ascii="黑体" w:hAnsi="黑体" w:eastAsia="黑体" w:cs="黑体"/>
          <w:bCs/>
          <w:sz w:val="20"/>
          <w:szCs w:val="20"/>
        </w:rPr>
      </w:pPr>
      <w:bookmarkStart w:id="16" w:name="_Toc25943"/>
      <w:r>
        <w:rPr>
          <w:rFonts w:hint="eastAsia" w:ascii="黑体" w:hAnsi="黑体" w:eastAsia="黑体" w:cs="黑体"/>
          <w:sz w:val="20"/>
          <w:szCs w:val="20"/>
        </w:rPr>
        <w:t xml:space="preserve">5  </w:t>
      </w:r>
      <w:r>
        <w:rPr>
          <w:rFonts w:hint="eastAsia" w:ascii="黑体" w:hAnsi="黑体" w:eastAsia="黑体" w:cs="黑体"/>
          <w:bCs/>
          <w:sz w:val="20"/>
          <w:szCs w:val="20"/>
        </w:rPr>
        <w:t>试验方法</w:t>
      </w:r>
      <w:bookmarkEnd w:id="16"/>
    </w:p>
    <w:p w14:paraId="1EA821D1">
      <w:pPr>
        <w:spacing w:before="156" w:beforeLines="50" w:after="156" w:afterLines="50"/>
        <w:ind w:firstLine="400" w:firstLineChars="200"/>
        <w:jc w:val="left"/>
        <w:rPr>
          <w:rFonts w:ascii="黑体" w:hAnsi="黑体" w:eastAsia="黑体" w:cs="黑体"/>
          <w:sz w:val="20"/>
          <w:szCs w:val="20"/>
        </w:rPr>
      </w:pPr>
      <w:r>
        <w:rPr>
          <w:rFonts w:hint="eastAsia" w:ascii="黑体" w:hAnsi="黑体" w:eastAsia="黑体" w:cs="黑体"/>
          <w:sz w:val="20"/>
          <w:szCs w:val="20"/>
        </w:rPr>
        <w:t>5.1  检验程序</w:t>
      </w:r>
    </w:p>
    <w:p w14:paraId="45ABF2AD">
      <w:pPr>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从供试样品中随机抽取有代表性样品，按分级要求进行检验，根据各单项等级综合评定该批</w:t>
      </w:r>
      <w:r>
        <w:rPr>
          <w:rFonts w:hint="eastAsia" w:asciiTheme="minorEastAsia" w:hAnsiTheme="minorEastAsia" w:cstheme="minorEastAsia"/>
          <w:sz w:val="20"/>
          <w:szCs w:val="20"/>
          <w:lang w:val="en-US" w:eastAsia="zh-CN"/>
        </w:rPr>
        <w:t>赣南脐橙</w:t>
      </w:r>
      <w:r>
        <w:rPr>
          <w:rFonts w:hint="eastAsia" w:asciiTheme="minorEastAsia" w:hAnsiTheme="minorEastAsia" w:cstheme="minorEastAsia"/>
          <w:sz w:val="20"/>
          <w:szCs w:val="20"/>
        </w:rPr>
        <w:t>的等级；如各单项等级不一致时，以最低等级项作为该样品等级综合评定结果。</w:t>
      </w:r>
    </w:p>
    <w:p w14:paraId="7A7680FD">
      <w:pPr>
        <w:spacing w:before="156" w:beforeLines="50" w:after="156" w:afterLines="50"/>
        <w:ind w:firstLine="400" w:firstLineChars="200"/>
        <w:jc w:val="left"/>
        <w:rPr>
          <w:rFonts w:ascii="黑体" w:hAnsi="黑体" w:eastAsia="黑体" w:cs="黑体"/>
          <w:sz w:val="20"/>
          <w:szCs w:val="20"/>
        </w:rPr>
      </w:pPr>
      <w:r>
        <w:rPr>
          <w:rFonts w:hint="eastAsia" w:ascii="黑体" w:hAnsi="黑体" w:eastAsia="黑体" w:cs="黑体"/>
          <w:sz w:val="20"/>
          <w:szCs w:val="20"/>
        </w:rPr>
        <w:t>5.2  追溯要求检验</w:t>
      </w:r>
    </w:p>
    <w:p w14:paraId="164D04C5">
      <w:pPr>
        <w:ind w:firstLine="400" w:firstLineChars="200"/>
        <w:jc w:val="left"/>
        <w:rPr>
          <w:rFonts w:asciiTheme="minorEastAsia" w:hAnsiTheme="minorEastAsia" w:cstheme="minorEastAsia"/>
          <w:sz w:val="20"/>
          <w:szCs w:val="20"/>
        </w:rPr>
      </w:pPr>
      <w:r>
        <w:rPr>
          <w:rFonts w:hint="eastAsia" w:asciiTheme="minorEastAsia" w:hAnsiTheme="minorEastAsia" w:cstheme="minorEastAsia"/>
          <w:sz w:val="20"/>
          <w:szCs w:val="20"/>
        </w:rPr>
        <w:t>查看产品或包装是否具有承诺达标合格证或其它追溯码，扫码查看是否追溯至种植基地。</w:t>
      </w:r>
    </w:p>
    <w:p w14:paraId="5BEF6935">
      <w:pPr>
        <w:spacing w:before="156" w:beforeLines="50" w:after="156" w:afterLines="50"/>
        <w:ind w:firstLine="400" w:firstLineChars="200"/>
        <w:jc w:val="left"/>
        <w:rPr>
          <w:rFonts w:ascii="黑体" w:hAnsi="黑体" w:eastAsia="黑体" w:cs="黑体"/>
          <w:sz w:val="20"/>
          <w:szCs w:val="20"/>
        </w:rPr>
      </w:pPr>
      <w:r>
        <w:rPr>
          <w:rFonts w:hint="eastAsia" w:ascii="黑体" w:hAnsi="黑体" w:eastAsia="黑体" w:cs="黑体"/>
          <w:sz w:val="20"/>
          <w:szCs w:val="20"/>
        </w:rPr>
        <w:t>5.3  安全要求检验</w:t>
      </w:r>
    </w:p>
    <w:p w14:paraId="50D86AB2">
      <w:pPr>
        <w:ind w:firstLine="400" w:firstLineChars="200"/>
        <w:rPr>
          <w:rFonts w:asciiTheme="minorEastAsia" w:hAnsiTheme="minorEastAsia" w:cstheme="minorEastAsia"/>
          <w:sz w:val="20"/>
          <w:szCs w:val="20"/>
        </w:rPr>
      </w:pPr>
      <w:r>
        <w:rPr>
          <w:rFonts w:hint="eastAsia" w:ascii="黑体" w:hAnsi="黑体" w:eastAsia="黑体" w:cs="黑体"/>
          <w:sz w:val="20"/>
          <w:szCs w:val="20"/>
        </w:rPr>
        <w:t>5.3.1</w:t>
      </w:r>
      <w:r>
        <w:rPr>
          <w:rFonts w:hint="eastAsia" w:asciiTheme="minorEastAsia" w:hAnsiTheme="minorEastAsia" w:cstheme="minorEastAsia"/>
          <w:sz w:val="20"/>
          <w:szCs w:val="20"/>
        </w:rPr>
        <w:t xml:space="preserve">  污染物限量按照GB 2762规定的检验方法检验。</w:t>
      </w:r>
    </w:p>
    <w:p w14:paraId="284F0CAA">
      <w:pPr>
        <w:ind w:firstLine="400" w:firstLineChars="200"/>
        <w:rPr>
          <w:rFonts w:asciiTheme="minorEastAsia" w:hAnsiTheme="minorEastAsia" w:cstheme="minorEastAsia"/>
          <w:sz w:val="20"/>
          <w:szCs w:val="20"/>
        </w:rPr>
      </w:pPr>
      <w:r>
        <w:rPr>
          <w:rFonts w:hint="eastAsia" w:ascii="黑体" w:hAnsi="黑体" w:eastAsia="黑体" w:cs="黑体"/>
          <w:sz w:val="20"/>
          <w:szCs w:val="20"/>
        </w:rPr>
        <w:t>5.3.2</w:t>
      </w:r>
      <w:r>
        <w:rPr>
          <w:rFonts w:hint="eastAsia" w:asciiTheme="minorEastAsia" w:hAnsiTheme="minorEastAsia" w:cstheme="minorEastAsia"/>
          <w:sz w:val="20"/>
          <w:szCs w:val="20"/>
        </w:rPr>
        <w:t xml:space="preserve">  农药最大残留限量按照GB 2763规定的检验方法检验。</w:t>
      </w:r>
    </w:p>
    <w:p w14:paraId="1626504A">
      <w:pPr>
        <w:spacing w:before="156" w:beforeLines="50" w:after="156" w:afterLines="50"/>
        <w:ind w:firstLine="400" w:firstLineChars="200"/>
        <w:jc w:val="left"/>
        <w:rPr>
          <w:rFonts w:ascii="黑体" w:hAnsi="黑体" w:eastAsia="黑体" w:cs="黑体"/>
          <w:sz w:val="20"/>
          <w:szCs w:val="20"/>
        </w:rPr>
      </w:pPr>
      <w:r>
        <w:rPr>
          <w:rFonts w:hint="eastAsia" w:ascii="黑体" w:hAnsi="黑体" w:eastAsia="黑体" w:cs="黑体"/>
          <w:sz w:val="20"/>
          <w:szCs w:val="20"/>
        </w:rPr>
        <w:t xml:space="preserve">5.4  </w:t>
      </w:r>
      <w:r>
        <w:rPr>
          <w:rFonts w:hint="eastAsia" w:ascii="黑体" w:hAnsi="黑体" w:eastAsia="黑体" w:cs="黑体"/>
          <w:sz w:val="20"/>
          <w:szCs w:val="20"/>
          <w:lang w:val="en-US" w:eastAsia="zh-CN"/>
        </w:rPr>
        <w:t>感官</w:t>
      </w:r>
      <w:r>
        <w:rPr>
          <w:rFonts w:hint="eastAsia" w:ascii="黑体" w:hAnsi="黑体" w:eastAsia="黑体" w:cs="黑体"/>
          <w:sz w:val="20"/>
          <w:szCs w:val="20"/>
        </w:rPr>
        <w:t>要求检验</w:t>
      </w:r>
    </w:p>
    <w:p w14:paraId="4A369CB6">
      <w:pPr>
        <w:ind w:firstLine="400" w:firstLineChars="200"/>
        <w:jc w:val="left"/>
        <w:rPr>
          <w:rFonts w:hint="default" w:hAnsi="Cambria Math" w:cstheme="minorEastAsia"/>
          <w:i w:val="0"/>
          <w:color w:val="auto"/>
          <w:sz w:val="20"/>
          <w:szCs w:val="20"/>
          <w:lang w:val="en-US" w:eastAsia="zh-CN"/>
        </w:rPr>
      </w:pPr>
      <w:r>
        <w:rPr>
          <w:rFonts w:hint="eastAsia" w:asciiTheme="minorEastAsia" w:hAnsiTheme="minorEastAsia" w:cstheme="minorEastAsia"/>
          <w:color w:val="auto"/>
          <w:sz w:val="20"/>
          <w:szCs w:val="20"/>
        </w:rPr>
        <w:t>在正常光线下采用眼观、手捏、口尝等直观的方法对果形、</w:t>
      </w:r>
      <w:r>
        <w:rPr>
          <w:rFonts w:hint="eastAsia" w:asciiTheme="minorEastAsia" w:hAnsiTheme="minorEastAsia" w:cstheme="minorEastAsia"/>
          <w:color w:val="auto"/>
          <w:sz w:val="20"/>
          <w:szCs w:val="20"/>
          <w:lang w:val="en-US" w:eastAsia="zh-CN"/>
        </w:rPr>
        <w:t>果面</w:t>
      </w:r>
      <w:r>
        <w:rPr>
          <w:rFonts w:hint="eastAsia" w:asciiTheme="minorEastAsia" w:hAnsiTheme="minorEastAsia" w:cstheme="minorEastAsia"/>
          <w:color w:val="auto"/>
          <w:sz w:val="20"/>
          <w:szCs w:val="20"/>
        </w:rPr>
        <w:t>、</w:t>
      </w:r>
      <w:r>
        <w:rPr>
          <w:rFonts w:hint="eastAsia" w:asciiTheme="minorEastAsia" w:hAnsiTheme="minorEastAsia" w:cstheme="minorEastAsia"/>
          <w:color w:val="auto"/>
          <w:sz w:val="20"/>
          <w:szCs w:val="20"/>
          <w:lang w:val="en-US" w:eastAsia="zh-CN"/>
        </w:rPr>
        <w:t>色泽</w:t>
      </w:r>
      <w:r>
        <w:rPr>
          <w:rFonts w:hint="eastAsia" w:asciiTheme="minorEastAsia" w:hAnsiTheme="minorEastAsia" w:cstheme="minorEastAsia"/>
          <w:color w:val="auto"/>
          <w:sz w:val="20"/>
          <w:szCs w:val="20"/>
        </w:rPr>
        <w:t>、</w:t>
      </w:r>
      <w:r>
        <w:rPr>
          <w:rFonts w:hint="eastAsia" w:asciiTheme="minorEastAsia" w:hAnsiTheme="minorEastAsia" w:cstheme="minorEastAsia"/>
          <w:color w:val="auto"/>
          <w:sz w:val="20"/>
          <w:szCs w:val="20"/>
          <w:lang w:val="en-US" w:eastAsia="zh-CN"/>
        </w:rPr>
        <w:t>风味</w:t>
      </w:r>
      <w:r>
        <w:rPr>
          <w:rFonts w:hint="eastAsia" w:asciiTheme="minorEastAsia" w:hAnsiTheme="minorEastAsia" w:cstheme="minorEastAsia"/>
          <w:color w:val="auto"/>
          <w:sz w:val="20"/>
          <w:szCs w:val="20"/>
        </w:rPr>
        <w:t>项目进行评定,并作记录。</w:t>
      </w:r>
    </w:p>
    <w:p w14:paraId="20D78D8D">
      <w:pPr>
        <w:spacing w:before="156" w:beforeLines="50" w:after="156" w:afterLines="50"/>
        <w:ind w:firstLine="400" w:firstLineChars="200"/>
        <w:jc w:val="left"/>
        <w:rPr>
          <w:rFonts w:ascii="黑体" w:hAnsi="黑体" w:eastAsia="黑体" w:cs="黑体"/>
          <w:sz w:val="20"/>
          <w:szCs w:val="20"/>
        </w:rPr>
      </w:pPr>
      <w:r>
        <w:rPr>
          <w:rFonts w:hint="eastAsia" w:ascii="黑体" w:hAnsi="黑体" w:eastAsia="黑体" w:cs="黑体"/>
          <w:sz w:val="20"/>
          <w:szCs w:val="20"/>
        </w:rPr>
        <w:t>5.5  品质等级要求检验</w:t>
      </w:r>
    </w:p>
    <w:p w14:paraId="39F7FD45">
      <w:pPr>
        <w:ind w:firstLine="400" w:firstLineChars="200"/>
        <w:rPr>
          <w:rFonts w:asciiTheme="minorEastAsia" w:hAnsiTheme="minorEastAsia" w:cstheme="minorEastAsia"/>
          <w:sz w:val="20"/>
          <w:szCs w:val="20"/>
        </w:rPr>
      </w:pPr>
      <w:r>
        <w:rPr>
          <w:rFonts w:hint="eastAsia" w:ascii="黑体" w:hAnsi="黑体" w:eastAsia="黑体" w:cs="黑体"/>
          <w:sz w:val="20"/>
          <w:szCs w:val="20"/>
        </w:rPr>
        <w:t>5.5.1</w:t>
      </w:r>
      <w:r>
        <w:rPr>
          <w:rFonts w:hint="eastAsia" w:asciiTheme="minorEastAsia" w:hAnsiTheme="minorEastAsia" w:cstheme="minorEastAsia"/>
          <w:sz w:val="20"/>
          <w:szCs w:val="20"/>
        </w:rPr>
        <w:t xml:space="preserve">  可食率检验：按GB/T </w:t>
      </w:r>
      <w:r>
        <w:rPr>
          <w:rFonts w:hint="eastAsia" w:asciiTheme="minorEastAsia" w:hAnsiTheme="minorEastAsia" w:cstheme="minorEastAsia"/>
          <w:sz w:val="20"/>
          <w:szCs w:val="20"/>
          <w:lang w:val="en-US" w:eastAsia="zh-CN"/>
        </w:rPr>
        <w:t>8210</w:t>
      </w:r>
      <w:r>
        <w:rPr>
          <w:rFonts w:hint="eastAsia" w:asciiTheme="minorEastAsia" w:hAnsiTheme="minorEastAsia" w:cstheme="minorEastAsia"/>
          <w:sz w:val="20"/>
          <w:szCs w:val="20"/>
        </w:rPr>
        <w:t>执行。</w:t>
      </w:r>
    </w:p>
    <w:p w14:paraId="63AF2DB0">
      <w:pPr>
        <w:ind w:firstLine="400" w:firstLineChars="200"/>
        <w:rPr>
          <w:rFonts w:asciiTheme="minorEastAsia" w:hAnsiTheme="minorEastAsia" w:cstheme="minorEastAsia"/>
          <w:sz w:val="20"/>
          <w:szCs w:val="20"/>
        </w:rPr>
      </w:pPr>
      <w:r>
        <w:rPr>
          <w:rFonts w:hint="eastAsia" w:ascii="黑体" w:hAnsi="黑体" w:eastAsia="黑体" w:cs="黑体"/>
          <w:sz w:val="20"/>
          <w:szCs w:val="20"/>
        </w:rPr>
        <w:t>5.5.</w:t>
      </w:r>
      <w:r>
        <w:rPr>
          <w:rFonts w:hint="eastAsia" w:ascii="黑体" w:hAnsi="黑体" w:eastAsia="黑体" w:cs="黑体"/>
          <w:sz w:val="20"/>
          <w:szCs w:val="20"/>
          <w:lang w:val="en-US" w:eastAsia="zh-CN"/>
        </w:rPr>
        <w:t>2</w:t>
      </w:r>
      <w:r>
        <w:rPr>
          <w:rFonts w:hint="eastAsia" w:asciiTheme="minorEastAsia" w:hAnsiTheme="minorEastAsia" w:cstheme="minorEastAsia"/>
          <w:sz w:val="20"/>
          <w:szCs w:val="20"/>
        </w:rPr>
        <w:t xml:space="preserve">  果实横径检验：</w:t>
      </w:r>
      <w:r>
        <w:rPr>
          <w:rFonts w:hint="eastAsia" w:asciiTheme="minorEastAsia" w:hAnsiTheme="minorEastAsia" w:cstheme="minorEastAsia"/>
          <w:sz w:val="20"/>
          <w:szCs w:val="20"/>
          <w:lang w:val="en-US" w:eastAsia="zh-CN"/>
        </w:rPr>
        <w:t>从供试品种随机取10个，用游标卡尺逐个测量最大切面横</w:t>
      </w:r>
      <w:r>
        <w:rPr>
          <w:rFonts w:hint="eastAsia" w:asciiTheme="minorEastAsia" w:hAnsiTheme="minorEastAsia" w:cstheme="minorEastAsia"/>
          <w:sz w:val="20"/>
          <w:szCs w:val="20"/>
        </w:rPr>
        <w:t>径</w:t>
      </w: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计算平均值。</w:t>
      </w:r>
    </w:p>
    <w:p w14:paraId="64F9C8A5">
      <w:pPr>
        <w:ind w:firstLine="400" w:firstLineChars="200"/>
        <w:rPr>
          <w:rFonts w:asciiTheme="minorEastAsia" w:hAnsiTheme="minorEastAsia" w:cstheme="minorEastAsia"/>
          <w:sz w:val="20"/>
          <w:szCs w:val="20"/>
        </w:rPr>
      </w:pPr>
      <w:r>
        <w:rPr>
          <w:rFonts w:hint="eastAsia" w:ascii="黑体" w:hAnsi="黑体" w:eastAsia="黑体" w:cs="黑体"/>
          <w:sz w:val="20"/>
          <w:szCs w:val="20"/>
        </w:rPr>
        <w:t>5.5.</w:t>
      </w:r>
      <w:r>
        <w:rPr>
          <w:rFonts w:hint="eastAsia" w:ascii="黑体" w:hAnsi="黑体" w:eastAsia="黑体" w:cs="黑体"/>
          <w:sz w:val="20"/>
          <w:szCs w:val="20"/>
          <w:lang w:val="en-US" w:eastAsia="zh-CN"/>
        </w:rPr>
        <w:t>3</w:t>
      </w:r>
      <w:r>
        <w:rPr>
          <w:rFonts w:hint="eastAsia" w:asciiTheme="minorEastAsia" w:hAnsiTheme="minorEastAsia" w:cstheme="minorEastAsia"/>
          <w:sz w:val="20"/>
          <w:szCs w:val="20"/>
        </w:rPr>
        <w:t xml:space="preserve">  可溶性固形物检验：按GB/T </w:t>
      </w:r>
      <w:r>
        <w:rPr>
          <w:rFonts w:hint="eastAsia" w:asciiTheme="minorEastAsia" w:hAnsiTheme="minorEastAsia" w:cstheme="minorEastAsia"/>
          <w:sz w:val="20"/>
          <w:szCs w:val="20"/>
          <w:lang w:val="en-US" w:eastAsia="zh-CN"/>
        </w:rPr>
        <w:t>8210</w:t>
      </w:r>
      <w:r>
        <w:rPr>
          <w:rFonts w:hint="eastAsia" w:asciiTheme="minorEastAsia" w:hAnsiTheme="minorEastAsia" w:cstheme="minorEastAsia"/>
          <w:sz w:val="20"/>
          <w:szCs w:val="20"/>
        </w:rPr>
        <w:t>执行。</w:t>
      </w:r>
    </w:p>
    <w:p w14:paraId="400BF71F">
      <w:pPr>
        <w:ind w:firstLine="400" w:firstLineChars="200"/>
        <w:rPr>
          <w:rFonts w:hint="default" w:asciiTheme="minorEastAsia" w:hAnsiTheme="minorEastAsia" w:eastAsiaTheme="minorEastAsia" w:cstheme="minorEastAsia"/>
          <w:sz w:val="20"/>
          <w:szCs w:val="20"/>
          <w:lang w:val="en-US" w:eastAsia="zh-CN"/>
        </w:rPr>
      </w:pPr>
      <w:r>
        <w:rPr>
          <w:rFonts w:hint="eastAsia" w:ascii="黑体" w:hAnsi="黑体" w:eastAsia="黑体" w:cs="黑体"/>
          <w:sz w:val="20"/>
          <w:szCs w:val="20"/>
        </w:rPr>
        <w:t>5.5.</w:t>
      </w:r>
      <w:r>
        <w:rPr>
          <w:rFonts w:hint="eastAsia" w:ascii="黑体" w:hAnsi="黑体" w:eastAsia="黑体" w:cs="黑体"/>
          <w:sz w:val="20"/>
          <w:szCs w:val="20"/>
          <w:lang w:val="en-US" w:eastAsia="zh-CN"/>
        </w:rPr>
        <w:t>4</w:t>
      </w:r>
      <w:r>
        <w:rPr>
          <w:rFonts w:hint="eastAsia" w:asciiTheme="minorEastAsia" w:hAnsiTheme="minorEastAsia" w:cstheme="minorEastAsia"/>
          <w:sz w:val="20"/>
          <w:szCs w:val="20"/>
        </w:rPr>
        <w:t xml:space="preserve">  </w:t>
      </w:r>
      <w:r>
        <w:rPr>
          <w:rFonts w:hint="eastAsia" w:asciiTheme="minorEastAsia" w:hAnsiTheme="minorEastAsia" w:cstheme="minorEastAsia"/>
          <w:sz w:val="20"/>
          <w:szCs w:val="20"/>
          <w:lang w:val="en-US" w:eastAsia="zh-CN"/>
        </w:rPr>
        <w:t>可滴定酸检验：</w:t>
      </w:r>
      <w:r>
        <w:rPr>
          <w:rFonts w:hint="eastAsia" w:asciiTheme="minorEastAsia" w:hAnsiTheme="minorEastAsia" w:cstheme="minorEastAsia"/>
          <w:sz w:val="20"/>
          <w:szCs w:val="20"/>
        </w:rPr>
        <w:t xml:space="preserve">按GB/T </w:t>
      </w:r>
      <w:r>
        <w:rPr>
          <w:rFonts w:hint="eastAsia" w:asciiTheme="minorEastAsia" w:hAnsiTheme="minorEastAsia" w:cstheme="minorEastAsia"/>
          <w:sz w:val="20"/>
          <w:szCs w:val="20"/>
          <w:lang w:val="en-US" w:eastAsia="zh-CN"/>
        </w:rPr>
        <w:t>8210</w:t>
      </w:r>
      <w:r>
        <w:rPr>
          <w:rFonts w:hint="eastAsia" w:asciiTheme="minorEastAsia" w:hAnsiTheme="minorEastAsia" w:cstheme="minorEastAsia"/>
          <w:sz w:val="20"/>
          <w:szCs w:val="20"/>
        </w:rPr>
        <w:t>执行。</w:t>
      </w:r>
    </w:p>
    <w:p w14:paraId="74C725ED">
      <w:pPr>
        <w:ind w:firstLine="400" w:firstLineChars="200"/>
        <w:rPr>
          <w:rFonts w:asciiTheme="minorEastAsia" w:hAnsiTheme="minorEastAsia" w:cstheme="minorEastAsia"/>
          <w:sz w:val="20"/>
          <w:szCs w:val="20"/>
        </w:rPr>
      </w:pPr>
      <w:r>
        <w:rPr>
          <w:rFonts w:hint="eastAsia" w:ascii="黑体" w:hAnsi="黑体" w:eastAsia="黑体" w:cs="黑体"/>
          <w:sz w:val="20"/>
          <w:szCs w:val="20"/>
        </w:rPr>
        <w:t>5.5.</w:t>
      </w:r>
      <w:r>
        <w:rPr>
          <w:rFonts w:hint="eastAsia" w:ascii="黑体" w:hAnsi="黑体" w:eastAsia="黑体" w:cs="黑体"/>
          <w:sz w:val="20"/>
          <w:szCs w:val="20"/>
          <w:lang w:val="en-US" w:eastAsia="zh-CN"/>
        </w:rPr>
        <w:t xml:space="preserve">5  </w:t>
      </w:r>
      <w:r>
        <w:rPr>
          <w:rFonts w:hint="eastAsia" w:asciiTheme="minorEastAsia" w:hAnsiTheme="minorEastAsia" w:eastAsiaTheme="minorEastAsia" w:cstheme="minorEastAsia"/>
          <w:sz w:val="20"/>
          <w:szCs w:val="20"/>
        </w:rPr>
        <w:t>维生素C含量</w:t>
      </w:r>
      <w:r>
        <w:rPr>
          <w:rFonts w:hint="eastAsia" w:asciiTheme="minorEastAsia" w:hAnsiTheme="minorEastAsia" w:cstheme="minorEastAsia"/>
          <w:sz w:val="20"/>
          <w:szCs w:val="20"/>
        </w:rPr>
        <w:t>检验：按GB</w:t>
      </w:r>
      <w:r>
        <w:rPr>
          <w:rFonts w:hint="eastAsia" w:asciiTheme="minorEastAsia" w:hAnsiTheme="minorEastAsia" w:cstheme="minorEastAsia"/>
          <w:sz w:val="20"/>
          <w:szCs w:val="20"/>
          <w:lang w:val="en-US" w:eastAsia="zh-CN"/>
        </w:rPr>
        <w:t>/T</w:t>
      </w:r>
      <w:r>
        <w:rPr>
          <w:rFonts w:hint="eastAsia" w:asciiTheme="minorEastAsia" w:hAnsiTheme="minorEastAsia" w:cstheme="minorEastAsia"/>
          <w:sz w:val="20"/>
          <w:szCs w:val="20"/>
        </w:rPr>
        <w:t xml:space="preserve"> 5009.8</w:t>
      </w:r>
      <w:r>
        <w:rPr>
          <w:rFonts w:hint="eastAsia" w:asciiTheme="minorEastAsia" w:hAnsiTheme="minorEastAsia" w:cstheme="minorEastAsia"/>
          <w:sz w:val="20"/>
          <w:szCs w:val="20"/>
          <w:lang w:val="en-US" w:eastAsia="zh-CN"/>
        </w:rPr>
        <w:t>6</w:t>
      </w:r>
      <w:r>
        <w:rPr>
          <w:rFonts w:hint="eastAsia" w:asciiTheme="minorEastAsia" w:hAnsiTheme="minorEastAsia" w:cstheme="minorEastAsia"/>
          <w:sz w:val="20"/>
          <w:szCs w:val="20"/>
        </w:rPr>
        <w:t>执行。</w:t>
      </w:r>
    </w:p>
    <w:p w14:paraId="4948087B">
      <w:pPr>
        <w:ind w:firstLine="400" w:firstLineChars="200"/>
        <w:rPr>
          <w:rFonts w:asciiTheme="minorEastAsia" w:hAnsiTheme="minorEastAsia" w:cstheme="minorEastAsia"/>
          <w:sz w:val="20"/>
          <w:szCs w:val="20"/>
        </w:rPr>
      </w:pPr>
    </w:p>
    <w:p w14:paraId="043EEC1A">
      <w:pPr>
        <w:jc w:val="left"/>
        <w:outlineLvl w:val="0"/>
        <w:rPr>
          <w:rFonts w:ascii="黑体" w:hAnsi="黑体" w:eastAsia="黑体" w:cs="黑体"/>
          <w:bCs/>
          <w:sz w:val="20"/>
          <w:szCs w:val="20"/>
        </w:rPr>
      </w:pPr>
      <w:bookmarkStart w:id="17" w:name="_Toc16491"/>
      <w:r>
        <w:rPr>
          <w:rFonts w:hint="eastAsia" w:ascii="黑体" w:hAnsi="黑体" w:eastAsia="黑体" w:cs="黑体"/>
          <w:bCs/>
          <w:sz w:val="20"/>
          <w:szCs w:val="20"/>
        </w:rPr>
        <w:t>6  检验规则</w:t>
      </w:r>
      <w:bookmarkEnd w:id="17"/>
    </w:p>
    <w:p w14:paraId="56769F69">
      <w:pPr>
        <w:jc w:val="left"/>
        <w:outlineLvl w:val="0"/>
        <w:rPr>
          <w:rFonts w:ascii="黑体" w:hAnsi="黑体" w:eastAsia="黑体" w:cs="黑体"/>
          <w:bCs/>
          <w:sz w:val="20"/>
          <w:szCs w:val="20"/>
        </w:rPr>
      </w:pPr>
    </w:p>
    <w:p w14:paraId="341D07CF">
      <w:pPr>
        <w:spacing w:after="156" w:afterLines="50"/>
        <w:ind w:firstLine="400" w:firstLineChars="200"/>
        <w:jc w:val="left"/>
        <w:rPr>
          <w:rFonts w:ascii="黑体" w:hAnsi="黑体" w:eastAsia="黑体" w:cs="黑体"/>
          <w:sz w:val="20"/>
          <w:szCs w:val="20"/>
        </w:rPr>
      </w:pPr>
      <w:r>
        <w:rPr>
          <w:rFonts w:hint="eastAsia" w:ascii="黑体" w:hAnsi="黑体" w:eastAsia="黑体" w:cs="黑体"/>
          <w:sz w:val="20"/>
          <w:szCs w:val="20"/>
        </w:rPr>
        <w:t>6.1  组批</w:t>
      </w:r>
    </w:p>
    <w:p w14:paraId="20DEA59C">
      <w:pPr>
        <w:ind w:firstLine="400" w:firstLineChars="200"/>
        <w:jc w:val="left"/>
        <w:rPr>
          <w:rFonts w:asciiTheme="minorEastAsia" w:hAnsiTheme="minorEastAsia" w:cstheme="minorEastAsia"/>
          <w:sz w:val="20"/>
          <w:szCs w:val="20"/>
        </w:rPr>
      </w:pPr>
      <w:r>
        <w:rPr>
          <w:rFonts w:hint="eastAsia" w:asciiTheme="minorEastAsia" w:hAnsiTheme="minorEastAsia" w:cstheme="minorEastAsia"/>
          <w:sz w:val="20"/>
          <w:szCs w:val="20"/>
        </w:rPr>
        <w:t>同一产地、同一品种、同一等级</w:t>
      </w:r>
      <w:bookmarkStart w:id="18" w:name="OLE_LINK7"/>
      <w:r>
        <w:rPr>
          <w:rFonts w:hint="eastAsia" w:asciiTheme="minorEastAsia" w:hAnsiTheme="minorEastAsia" w:cstheme="minorEastAsia"/>
          <w:sz w:val="20"/>
          <w:szCs w:val="20"/>
        </w:rPr>
        <w:t>、</w:t>
      </w:r>
      <w:bookmarkEnd w:id="18"/>
      <w:r>
        <w:rPr>
          <w:rFonts w:hint="eastAsia" w:asciiTheme="minorEastAsia" w:hAnsiTheme="minorEastAsia" w:cstheme="minorEastAsia"/>
          <w:sz w:val="20"/>
          <w:szCs w:val="20"/>
        </w:rPr>
        <w:t>同一采收日期、</w:t>
      </w:r>
      <w:r>
        <w:rPr>
          <w:rFonts w:hint="eastAsia" w:asciiTheme="minorEastAsia" w:hAnsiTheme="minorEastAsia" w:cstheme="minorEastAsia"/>
          <w:sz w:val="20"/>
          <w:szCs w:val="20"/>
          <w:lang w:val="en-US" w:eastAsia="zh-CN"/>
        </w:rPr>
        <w:t>同一贮存条件</w:t>
      </w:r>
      <w:r>
        <w:rPr>
          <w:rFonts w:hint="eastAsia" w:asciiTheme="minorEastAsia" w:hAnsiTheme="minorEastAsia" w:cstheme="minorEastAsia"/>
          <w:sz w:val="20"/>
          <w:szCs w:val="20"/>
        </w:rPr>
        <w:t>的</w:t>
      </w:r>
      <w:r>
        <w:rPr>
          <w:rFonts w:hint="eastAsia" w:asciiTheme="minorEastAsia" w:hAnsiTheme="minorEastAsia" w:cstheme="minorEastAsia"/>
          <w:sz w:val="20"/>
          <w:szCs w:val="20"/>
          <w:lang w:val="en-US" w:eastAsia="zh-CN"/>
        </w:rPr>
        <w:t>赣南脐橙</w:t>
      </w:r>
      <w:r>
        <w:rPr>
          <w:rFonts w:hint="eastAsia" w:asciiTheme="minorEastAsia" w:hAnsiTheme="minorEastAsia" w:cstheme="minorEastAsia"/>
          <w:sz w:val="20"/>
          <w:szCs w:val="20"/>
        </w:rPr>
        <w:t>作为一个检验组批。</w:t>
      </w:r>
    </w:p>
    <w:p w14:paraId="2251E113">
      <w:pPr>
        <w:spacing w:before="156" w:beforeLines="50" w:after="156" w:afterLines="50"/>
        <w:ind w:firstLine="400" w:firstLineChars="200"/>
        <w:jc w:val="left"/>
        <w:rPr>
          <w:rFonts w:ascii="黑体" w:hAnsi="黑体" w:eastAsia="黑体" w:cs="黑体"/>
          <w:bCs/>
          <w:sz w:val="20"/>
          <w:szCs w:val="20"/>
        </w:rPr>
      </w:pPr>
      <w:r>
        <w:rPr>
          <w:rFonts w:hint="eastAsia" w:ascii="黑体" w:hAnsi="黑体" w:eastAsia="黑体" w:cs="黑体"/>
          <w:bCs/>
          <w:sz w:val="20"/>
          <w:szCs w:val="20"/>
        </w:rPr>
        <w:t>6.2  抽样方法</w:t>
      </w:r>
    </w:p>
    <w:p w14:paraId="0E60EEDD">
      <w:pPr>
        <w:ind w:firstLine="400" w:firstLineChars="200"/>
        <w:jc w:val="left"/>
        <w:rPr>
          <w:rFonts w:hint="eastAsia" w:asciiTheme="minorEastAsia" w:hAnsiTheme="minorEastAsia" w:cstheme="minorEastAsia"/>
          <w:bCs/>
          <w:sz w:val="20"/>
          <w:szCs w:val="20"/>
        </w:rPr>
      </w:pPr>
      <w:r>
        <w:rPr>
          <w:rFonts w:hint="eastAsia" w:asciiTheme="minorEastAsia" w:hAnsiTheme="minorEastAsia" w:cstheme="minorEastAsia"/>
          <w:bCs/>
          <w:sz w:val="20"/>
          <w:szCs w:val="20"/>
        </w:rPr>
        <w:t>按照GB/T</w:t>
      </w:r>
      <w:r>
        <w:rPr>
          <w:rFonts w:hint="eastAsia" w:asciiTheme="minorEastAsia" w:hAnsiTheme="minorEastAsia" w:cstheme="minorEastAsia"/>
          <w:bCs/>
          <w:sz w:val="20"/>
          <w:szCs w:val="20"/>
          <w:lang w:val="en-US" w:eastAsia="zh-CN"/>
        </w:rPr>
        <w:t xml:space="preserve"> </w:t>
      </w:r>
      <w:r>
        <w:rPr>
          <w:rFonts w:hint="eastAsia" w:asciiTheme="minorEastAsia" w:hAnsiTheme="minorEastAsia" w:cstheme="minorEastAsia"/>
          <w:bCs/>
          <w:sz w:val="20"/>
          <w:szCs w:val="20"/>
        </w:rPr>
        <w:t>8855的规定执行。</w:t>
      </w:r>
    </w:p>
    <w:p w14:paraId="035A8509">
      <w:pPr>
        <w:ind w:firstLine="400" w:firstLineChars="200"/>
        <w:jc w:val="left"/>
        <w:rPr>
          <w:rFonts w:hint="eastAsia" w:asciiTheme="minorEastAsia" w:hAnsiTheme="minorEastAsia" w:cstheme="minorEastAsia"/>
          <w:bCs/>
          <w:sz w:val="20"/>
          <w:szCs w:val="20"/>
        </w:rPr>
      </w:pPr>
    </w:p>
    <w:p w14:paraId="47FF62D4">
      <w:pPr>
        <w:adjustRightInd w:val="0"/>
        <w:snapToGrid w:val="0"/>
        <w:jc w:val="left"/>
        <w:outlineLvl w:val="0"/>
        <w:rPr>
          <w:rFonts w:ascii="黑体" w:hAnsi="黑体" w:eastAsia="黑体" w:cs="黑体"/>
          <w:sz w:val="20"/>
          <w:szCs w:val="20"/>
        </w:rPr>
      </w:pPr>
      <w:bookmarkStart w:id="19" w:name="_Toc28825"/>
      <w:r>
        <w:rPr>
          <w:rFonts w:hint="eastAsia" w:ascii="黑体" w:hAnsi="黑体" w:eastAsia="黑体" w:cs="黑体"/>
          <w:sz w:val="20"/>
          <w:szCs w:val="20"/>
        </w:rPr>
        <w:t>7  包装、运输、贮存</w:t>
      </w:r>
      <w:bookmarkEnd w:id="19"/>
    </w:p>
    <w:p w14:paraId="4197ED77">
      <w:pPr>
        <w:adjustRightInd w:val="0"/>
        <w:snapToGrid w:val="0"/>
        <w:jc w:val="left"/>
        <w:outlineLvl w:val="0"/>
        <w:rPr>
          <w:rFonts w:ascii="黑体" w:hAnsi="黑体" w:eastAsia="黑体" w:cs="黑体"/>
          <w:sz w:val="20"/>
          <w:szCs w:val="20"/>
        </w:rPr>
      </w:pPr>
    </w:p>
    <w:p w14:paraId="3882F8CB">
      <w:pPr>
        <w:adjustRightInd w:val="0"/>
        <w:snapToGrid w:val="0"/>
        <w:spacing w:after="156" w:afterLines="50"/>
        <w:ind w:firstLine="403"/>
        <w:jc w:val="left"/>
        <w:outlineLvl w:val="0"/>
        <w:rPr>
          <w:rFonts w:ascii="黑体" w:hAnsi="黑体" w:eastAsia="黑体" w:cs="黑体"/>
          <w:sz w:val="20"/>
          <w:szCs w:val="20"/>
        </w:rPr>
      </w:pPr>
      <w:bookmarkStart w:id="20" w:name="_Toc8353"/>
      <w:bookmarkStart w:id="21" w:name="_Toc30078"/>
      <w:r>
        <w:rPr>
          <w:rFonts w:hint="eastAsia" w:ascii="黑体" w:hAnsi="黑体" w:eastAsia="黑体" w:cs="黑体"/>
          <w:sz w:val="20"/>
          <w:szCs w:val="20"/>
        </w:rPr>
        <w:t>7.1  包装</w:t>
      </w:r>
      <w:bookmarkEnd w:id="20"/>
      <w:bookmarkEnd w:id="21"/>
    </w:p>
    <w:p w14:paraId="4A7E4B53">
      <w:pPr>
        <w:ind w:firstLine="400" w:firstLineChars="200"/>
        <w:rPr>
          <w:rFonts w:asciiTheme="minorEastAsia" w:hAnsiTheme="minorEastAsia" w:cstheme="minorEastAsia"/>
          <w:color w:val="auto"/>
          <w:sz w:val="20"/>
          <w:szCs w:val="20"/>
        </w:rPr>
      </w:pPr>
      <w:r>
        <w:rPr>
          <w:rFonts w:hint="eastAsia" w:asciiTheme="minorEastAsia" w:hAnsiTheme="minorEastAsia" w:cstheme="minorEastAsia"/>
          <w:color w:val="auto"/>
          <w:sz w:val="20"/>
          <w:szCs w:val="20"/>
          <w:lang w:val="en-US" w:eastAsia="zh-CN"/>
        </w:rPr>
        <w:t>果箱应清洁、干燥,无毒、无害。其他应符合GB/T 13607之规定。衬垫材料应柔软、干净、无污染、轻便，有一定缓冲性。</w:t>
      </w:r>
    </w:p>
    <w:p w14:paraId="7BC8AE38">
      <w:pPr>
        <w:adjustRightInd w:val="0"/>
        <w:snapToGrid w:val="0"/>
        <w:spacing w:before="156" w:beforeLines="50" w:after="156" w:afterLines="50"/>
        <w:ind w:firstLine="400"/>
        <w:jc w:val="left"/>
        <w:outlineLvl w:val="0"/>
        <w:rPr>
          <w:rFonts w:ascii="黑体" w:hAnsi="黑体" w:eastAsia="黑体" w:cs="黑体"/>
          <w:sz w:val="20"/>
          <w:szCs w:val="20"/>
        </w:rPr>
      </w:pPr>
      <w:bookmarkStart w:id="22" w:name="_Toc22895"/>
      <w:bookmarkStart w:id="23" w:name="_Toc9813"/>
      <w:r>
        <w:rPr>
          <w:rFonts w:hint="eastAsia" w:ascii="黑体" w:hAnsi="黑体" w:eastAsia="黑体" w:cs="黑体"/>
          <w:sz w:val="20"/>
          <w:szCs w:val="20"/>
        </w:rPr>
        <w:t>7.2  运输</w:t>
      </w:r>
      <w:bookmarkEnd w:id="22"/>
      <w:bookmarkEnd w:id="23"/>
    </w:p>
    <w:p w14:paraId="67C7268C">
      <w:pPr>
        <w:ind w:firstLine="400" w:firstLineChars="200"/>
        <w:rPr>
          <w:rFonts w:hint="eastAsia" w:asciiTheme="minorEastAsia" w:hAnsiTheme="minorEastAsia" w:cstheme="minorEastAsia"/>
          <w:sz w:val="20"/>
          <w:szCs w:val="20"/>
        </w:rPr>
      </w:pPr>
      <w:r>
        <w:rPr>
          <w:rFonts w:hint="eastAsia" w:ascii="黑体" w:hAnsi="黑体" w:eastAsia="黑体" w:cs="黑体"/>
          <w:sz w:val="20"/>
          <w:szCs w:val="20"/>
        </w:rPr>
        <w:t>7.2.1</w:t>
      </w:r>
      <w:r>
        <w:rPr>
          <w:rFonts w:hint="eastAsia" w:asciiTheme="minorEastAsia" w:hAnsiTheme="minorEastAsia" w:cstheme="minorEastAsia"/>
          <w:sz w:val="20"/>
          <w:szCs w:val="20"/>
        </w:rPr>
        <w:t xml:space="preserve">  运输工具应清洁、干燥。</w:t>
      </w:r>
    </w:p>
    <w:p w14:paraId="17372D9A">
      <w:pPr>
        <w:ind w:firstLine="400" w:firstLineChars="200"/>
        <w:rPr>
          <w:rFonts w:hint="eastAsia" w:asciiTheme="minorEastAsia" w:hAnsiTheme="minorEastAsia" w:cstheme="minorEastAsia"/>
          <w:sz w:val="20"/>
          <w:szCs w:val="20"/>
        </w:rPr>
      </w:pPr>
      <w:bookmarkStart w:id="24" w:name="OLE_LINK4"/>
      <w:r>
        <w:rPr>
          <w:rFonts w:hint="eastAsia" w:ascii="黑体" w:hAnsi="黑体" w:eastAsia="黑体" w:cs="黑体"/>
          <w:sz w:val="20"/>
          <w:szCs w:val="20"/>
        </w:rPr>
        <w:t>7.2.</w:t>
      </w:r>
      <w:r>
        <w:rPr>
          <w:rFonts w:hint="eastAsia" w:ascii="黑体" w:hAnsi="黑体" w:eastAsia="黑体" w:cs="黑体"/>
          <w:sz w:val="20"/>
          <w:szCs w:val="20"/>
          <w:lang w:val="en-US" w:eastAsia="zh-CN"/>
        </w:rPr>
        <w:t>2</w:t>
      </w:r>
      <w:bookmarkEnd w:id="24"/>
      <w:r>
        <w:rPr>
          <w:rFonts w:hint="eastAsia" w:ascii="黑体" w:hAnsi="黑体" w:eastAsia="黑体" w:cs="黑体"/>
          <w:sz w:val="20"/>
          <w:szCs w:val="20"/>
          <w:lang w:val="en-US" w:eastAsia="zh-CN"/>
        </w:rPr>
        <w:t xml:space="preserve">  </w:t>
      </w:r>
      <w:r>
        <w:rPr>
          <w:rFonts w:hint="eastAsia" w:asciiTheme="minorEastAsia" w:hAnsiTheme="minorEastAsia" w:cstheme="minorEastAsia"/>
          <w:sz w:val="20"/>
          <w:szCs w:val="20"/>
        </w:rPr>
        <w:t>装卸、搬运时要轻拿轻放,严禁乱丢乱掷。堆码不应过高，控制在4层</w:t>
      </w:r>
      <w:r>
        <w:rPr>
          <w:rFonts w:hint="eastAsia" w:ascii="微软雅黑" w:hAnsi="微软雅黑" w:eastAsia="微软雅黑" w:cs="微软雅黑"/>
          <w:sz w:val="20"/>
          <w:szCs w:val="20"/>
          <w:lang w:val="en-US" w:eastAsia="zh-CN"/>
        </w:rPr>
        <w:t>~</w:t>
      </w:r>
      <w:r>
        <w:rPr>
          <w:rFonts w:hint="eastAsia" w:asciiTheme="minorEastAsia" w:hAnsiTheme="minorEastAsia" w:cstheme="minorEastAsia"/>
          <w:sz w:val="20"/>
          <w:szCs w:val="20"/>
        </w:rPr>
        <w:t>6层。</w:t>
      </w:r>
    </w:p>
    <w:p w14:paraId="6E59D9AA">
      <w:pPr>
        <w:ind w:firstLine="400" w:firstLineChars="200"/>
        <w:rPr>
          <w:rFonts w:asciiTheme="minorEastAsia" w:hAnsiTheme="minorEastAsia" w:cstheme="minorEastAsia"/>
          <w:sz w:val="20"/>
          <w:szCs w:val="20"/>
        </w:rPr>
      </w:pPr>
      <w:r>
        <w:rPr>
          <w:rFonts w:hint="eastAsia" w:ascii="黑体" w:hAnsi="黑体" w:eastAsia="黑体" w:cs="黑体"/>
          <w:sz w:val="20"/>
          <w:szCs w:val="20"/>
        </w:rPr>
        <w:t>7.2.</w:t>
      </w:r>
      <w:r>
        <w:rPr>
          <w:rFonts w:hint="eastAsia" w:ascii="黑体" w:hAnsi="黑体" w:eastAsia="黑体" w:cs="黑体"/>
          <w:sz w:val="20"/>
          <w:szCs w:val="20"/>
          <w:lang w:val="en-US" w:eastAsia="zh-CN"/>
        </w:rPr>
        <w:t xml:space="preserve">3  </w:t>
      </w:r>
      <w:r>
        <w:rPr>
          <w:rFonts w:hint="eastAsia" w:asciiTheme="minorEastAsia" w:hAnsiTheme="minorEastAsia" w:cstheme="minorEastAsia"/>
          <w:sz w:val="20"/>
          <w:szCs w:val="20"/>
        </w:rPr>
        <w:t>运输时严禁日晒、兩淋,注意防冻。不应与有毒有害物品混运。</w:t>
      </w:r>
    </w:p>
    <w:p w14:paraId="48C8C156">
      <w:pPr>
        <w:adjustRightInd w:val="0"/>
        <w:snapToGrid w:val="0"/>
        <w:spacing w:before="156" w:beforeLines="50" w:after="156" w:afterLines="50"/>
        <w:ind w:firstLine="400"/>
        <w:jc w:val="left"/>
        <w:outlineLvl w:val="0"/>
        <w:rPr>
          <w:rFonts w:ascii="黑体" w:hAnsi="黑体" w:eastAsia="黑体" w:cs="黑体"/>
          <w:sz w:val="20"/>
          <w:szCs w:val="20"/>
        </w:rPr>
      </w:pPr>
      <w:r>
        <w:rPr>
          <w:rFonts w:hint="eastAsia" w:ascii="黑体" w:hAnsi="黑体" w:eastAsia="黑体" w:cs="黑体"/>
          <w:sz w:val="20"/>
          <w:szCs w:val="20"/>
        </w:rPr>
        <w:t>7.</w:t>
      </w:r>
      <w:r>
        <w:rPr>
          <w:rFonts w:hint="eastAsia" w:ascii="黑体" w:hAnsi="黑体" w:eastAsia="黑体" w:cs="黑体"/>
          <w:sz w:val="20"/>
          <w:szCs w:val="20"/>
          <w:lang w:val="en-US" w:eastAsia="zh-CN"/>
        </w:rPr>
        <w:t>3</w:t>
      </w:r>
      <w:r>
        <w:rPr>
          <w:rFonts w:hint="eastAsia" w:ascii="黑体" w:hAnsi="黑体" w:eastAsia="黑体" w:cs="黑体"/>
          <w:sz w:val="20"/>
          <w:szCs w:val="20"/>
        </w:rPr>
        <w:t xml:space="preserve">  贮存</w:t>
      </w:r>
    </w:p>
    <w:p w14:paraId="06741569">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Theme="minorEastAsia" w:hAnsi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在常温、冷藏下贮存，按NY/T 1189规定执行。</w:t>
      </w:r>
    </w:p>
    <w:p w14:paraId="1713B75C">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default" w:asciiTheme="minorEastAsia" w:hAnsiTheme="minorEastAsia" w:cstheme="minorEastAsia"/>
          <w:color w:val="auto"/>
          <w:sz w:val="20"/>
          <w:szCs w:val="20"/>
          <w:lang w:val="en-US" w:eastAsia="zh-CN"/>
        </w:rPr>
      </w:pPr>
    </w:p>
    <w:p w14:paraId="227030DC">
      <w:pPr>
        <w:adjustRightInd w:val="0"/>
        <w:snapToGrid w:val="0"/>
        <w:jc w:val="left"/>
        <w:outlineLvl w:val="0"/>
        <w:rPr>
          <w:rFonts w:ascii="黑体" w:hAnsi="黑体" w:eastAsia="黑体" w:cs="黑体"/>
          <w:sz w:val="20"/>
          <w:szCs w:val="20"/>
        </w:rPr>
      </w:pPr>
      <w:bookmarkStart w:id="25" w:name="_Toc28402"/>
      <w:r>
        <w:rPr>
          <w:rFonts w:hint="eastAsia" w:ascii="黑体" w:hAnsi="黑体" w:eastAsia="黑体" w:cs="黑体"/>
          <w:sz w:val="20"/>
          <w:szCs w:val="20"/>
        </w:rPr>
        <w:t>8  标识规定</w:t>
      </w:r>
      <w:bookmarkEnd w:id="25"/>
    </w:p>
    <w:p w14:paraId="1051C36B">
      <w:pPr>
        <w:adjustRightInd w:val="0"/>
        <w:snapToGrid w:val="0"/>
        <w:jc w:val="left"/>
        <w:outlineLvl w:val="0"/>
        <w:rPr>
          <w:rFonts w:ascii="黑体" w:hAnsi="黑体" w:eastAsia="黑体" w:cs="黑体"/>
          <w:sz w:val="20"/>
          <w:szCs w:val="20"/>
        </w:rPr>
      </w:pPr>
    </w:p>
    <w:p w14:paraId="37DB0920">
      <w:pPr>
        <w:adjustRightInd w:val="0"/>
        <w:snapToGrid w:val="0"/>
        <w:spacing w:after="156" w:afterLines="50"/>
        <w:ind w:firstLine="400" w:firstLineChars="200"/>
        <w:jc w:val="left"/>
        <w:rPr>
          <w:rFonts w:ascii="黑体" w:hAnsi="黑体" w:eastAsia="黑体" w:cs="黑体"/>
          <w:sz w:val="20"/>
          <w:szCs w:val="20"/>
        </w:rPr>
      </w:pPr>
      <w:r>
        <w:rPr>
          <w:rFonts w:hint="eastAsia" w:ascii="黑体" w:hAnsi="黑体" w:eastAsia="黑体" w:cs="黑体"/>
          <w:sz w:val="20"/>
          <w:szCs w:val="20"/>
        </w:rPr>
        <w:t>8.1  标志</w:t>
      </w:r>
    </w:p>
    <w:p w14:paraId="77837194">
      <w:pPr>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小心轻放、防雨、防压等相关储运图示应符合GB/T 191</w:t>
      </w:r>
      <w:r>
        <w:rPr>
          <w:rFonts w:hint="eastAsia" w:asciiTheme="minorEastAsia" w:hAnsiTheme="minorEastAsia" w:cstheme="minorEastAsia"/>
          <w:sz w:val="20"/>
          <w:szCs w:val="20"/>
          <w:lang w:val="en-US" w:eastAsia="zh-CN"/>
        </w:rPr>
        <w:t>的</w:t>
      </w:r>
      <w:r>
        <w:rPr>
          <w:rFonts w:hint="eastAsia" w:asciiTheme="minorEastAsia" w:hAnsiTheme="minorEastAsia" w:cstheme="minorEastAsia"/>
          <w:sz w:val="20"/>
          <w:szCs w:val="20"/>
        </w:rPr>
        <w:t>规定。</w:t>
      </w:r>
    </w:p>
    <w:p w14:paraId="03E5589A">
      <w:pPr>
        <w:adjustRightInd w:val="0"/>
        <w:snapToGrid w:val="0"/>
        <w:spacing w:before="156" w:beforeLines="50" w:after="156" w:afterLines="50"/>
        <w:ind w:firstLine="400" w:firstLineChars="200"/>
        <w:jc w:val="left"/>
        <w:rPr>
          <w:rFonts w:ascii="黑体" w:hAnsi="黑体" w:eastAsia="黑体" w:cs="黑体"/>
          <w:sz w:val="20"/>
          <w:szCs w:val="20"/>
        </w:rPr>
      </w:pPr>
      <w:r>
        <w:rPr>
          <w:rFonts w:hint="eastAsia" w:ascii="黑体" w:hAnsi="黑体" w:eastAsia="黑体" w:cs="黑体"/>
          <w:sz w:val="20"/>
          <w:szCs w:val="20"/>
        </w:rPr>
        <w:t>8.2  标签</w:t>
      </w:r>
    </w:p>
    <w:p w14:paraId="605F0310">
      <w:pPr>
        <w:pStyle w:val="7"/>
        <w:keepNext w:val="0"/>
        <w:keepLines w:val="0"/>
        <w:widowControl/>
        <w:suppressLineNumbers w:val="0"/>
        <w:spacing w:before="0" w:beforeAutospacing="0" w:after="0" w:afterAutospacing="0"/>
        <w:ind w:left="0" w:right="0" w:firstLine="420"/>
        <w:jc w:val="left"/>
        <w:rPr>
          <w:rFonts w:asciiTheme="minorEastAsia" w:hAnsiTheme="minorEastAsia" w:cstheme="minorEastAsia"/>
          <w:sz w:val="20"/>
          <w:szCs w:val="20"/>
        </w:rPr>
      </w:pPr>
      <w:r>
        <w:rPr>
          <w:rFonts w:hint="eastAsia" w:ascii="宋体" w:hAnsi="宋体" w:eastAsia="宋体" w:cs="宋体"/>
          <w:b w:val="0"/>
          <w:i w:val="0"/>
          <w:color w:val="000000"/>
          <w:spacing w:val="0"/>
          <w:w w:val="100"/>
          <w:sz w:val="20"/>
          <w:szCs w:val="20"/>
          <w:vertAlign w:val="baseline"/>
        </w:rPr>
        <w:t>包装箱(篓)外应标明品名、等级、规格、净重、毛重、产地、采摘和包装的日期、生产者、联系地址、邮政编码、联系电话。标注内容要求字迹清晰、完整、准确且不易褪色。</w:t>
      </w:r>
    </w:p>
    <w:p w14:paraId="7395346E">
      <w:pPr>
        <w:adjustRightInd w:val="0"/>
        <w:snapToGrid w:val="0"/>
        <w:spacing w:before="156" w:beforeLines="50" w:after="156" w:afterLines="50"/>
        <w:ind w:firstLine="400" w:firstLineChars="200"/>
        <w:jc w:val="left"/>
        <w:rPr>
          <w:rFonts w:ascii="黑体" w:hAnsi="黑体" w:eastAsia="黑体" w:cs="黑体"/>
          <w:sz w:val="20"/>
          <w:szCs w:val="20"/>
          <w:highlight w:val="none"/>
        </w:rPr>
      </w:pPr>
      <w:r>
        <w:rPr>
          <w:rFonts w:hint="eastAsia" w:ascii="黑体" w:hAnsi="黑体" w:eastAsia="黑体" w:cs="黑体"/>
          <w:sz w:val="20"/>
          <w:szCs w:val="20"/>
          <w:highlight w:val="none"/>
        </w:rPr>
        <w:t>8.3  品质雷达图</w:t>
      </w:r>
    </w:p>
    <w:p w14:paraId="3C1C2282">
      <w:pPr>
        <w:adjustRightInd w:val="0"/>
        <w:snapToGrid w:val="0"/>
        <w:ind w:firstLine="400" w:firstLineChars="200"/>
        <w:jc w:val="left"/>
        <w:rPr>
          <w:rFonts w:ascii="黑体" w:hAnsi="黑体" w:eastAsia="黑体" w:cs="黑体"/>
          <w:sz w:val="20"/>
          <w:szCs w:val="20"/>
          <w:highlight w:val="none"/>
        </w:rPr>
      </w:pPr>
      <w:r>
        <w:rPr>
          <w:rFonts w:hint="eastAsia" w:asciiTheme="minorEastAsia" w:hAnsiTheme="minorEastAsia" w:cstheme="minorEastAsia"/>
          <w:sz w:val="20"/>
          <w:szCs w:val="20"/>
          <w:highlight w:val="none"/>
        </w:rPr>
        <w:t>A级、A+级果品应根据品质等级要求检验结果制作品质雷达图，以供消费者购买参考，雷达图示例见附录A。</w:t>
      </w:r>
    </w:p>
    <w:p w14:paraId="2309F169">
      <w:pPr>
        <w:jc w:val="center"/>
        <w:outlineLvl w:val="0"/>
        <w:rPr>
          <w:rFonts w:hint="eastAsia" w:ascii="黑体" w:hAnsi="黑体" w:eastAsia="黑体" w:cs="黑体"/>
          <w:sz w:val="20"/>
          <w:szCs w:val="20"/>
          <w:highlight w:val="none"/>
        </w:rPr>
      </w:pPr>
      <w:bookmarkStart w:id="26" w:name="_Toc16664"/>
    </w:p>
    <w:p w14:paraId="3490F9FE">
      <w:pPr>
        <w:jc w:val="center"/>
        <w:outlineLvl w:val="0"/>
        <w:rPr>
          <w:rFonts w:hint="eastAsia" w:ascii="黑体" w:hAnsi="黑体" w:eastAsia="黑体" w:cs="黑体"/>
          <w:sz w:val="20"/>
          <w:szCs w:val="20"/>
          <w:highlight w:val="none"/>
        </w:rPr>
      </w:pPr>
    </w:p>
    <w:p w14:paraId="12BFA9DE">
      <w:pPr>
        <w:jc w:val="center"/>
        <w:outlineLvl w:val="0"/>
        <w:rPr>
          <w:rFonts w:hint="eastAsia" w:ascii="黑体" w:hAnsi="黑体" w:eastAsia="黑体" w:cs="黑体"/>
          <w:sz w:val="20"/>
          <w:szCs w:val="20"/>
          <w:highlight w:val="none"/>
        </w:rPr>
      </w:pPr>
    </w:p>
    <w:p w14:paraId="41567C9B">
      <w:pPr>
        <w:jc w:val="center"/>
        <w:outlineLvl w:val="0"/>
        <w:rPr>
          <w:rFonts w:hint="eastAsia" w:ascii="黑体" w:hAnsi="黑体" w:eastAsia="黑体" w:cs="黑体"/>
          <w:sz w:val="20"/>
          <w:szCs w:val="20"/>
          <w:highlight w:val="none"/>
        </w:rPr>
      </w:pPr>
    </w:p>
    <w:p w14:paraId="44446A60">
      <w:pPr>
        <w:jc w:val="center"/>
        <w:outlineLvl w:val="0"/>
        <w:rPr>
          <w:rFonts w:hint="eastAsia" w:ascii="黑体" w:hAnsi="黑体" w:eastAsia="黑体" w:cs="黑体"/>
          <w:sz w:val="20"/>
          <w:szCs w:val="20"/>
          <w:highlight w:val="none"/>
        </w:rPr>
      </w:pPr>
    </w:p>
    <w:p w14:paraId="2AFC2376">
      <w:pPr>
        <w:jc w:val="center"/>
        <w:outlineLvl w:val="0"/>
        <w:rPr>
          <w:rFonts w:hint="eastAsia" w:ascii="黑体" w:hAnsi="黑体" w:eastAsia="黑体" w:cs="黑体"/>
          <w:sz w:val="20"/>
          <w:szCs w:val="20"/>
          <w:highlight w:val="none"/>
        </w:rPr>
      </w:pPr>
    </w:p>
    <w:p w14:paraId="1F26C0F8">
      <w:pPr>
        <w:jc w:val="center"/>
        <w:outlineLvl w:val="0"/>
        <w:rPr>
          <w:rFonts w:ascii="黑体" w:hAnsi="黑体" w:eastAsia="黑体" w:cs="黑体"/>
          <w:sz w:val="24"/>
          <w:highlight w:val="none"/>
        </w:rPr>
      </w:pPr>
      <w:r>
        <w:rPr>
          <w:rFonts w:hint="eastAsia" w:ascii="黑体" w:hAnsi="黑体" w:eastAsia="黑体" w:cs="黑体"/>
          <w:sz w:val="20"/>
          <w:szCs w:val="20"/>
          <w:highlight w:val="none"/>
        </w:rPr>
        <w:t>附  录  A</w:t>
      </w:r>
      <w:bookmarkEnd w:id="26"/>
    </w:p>
    <w:p w14:paraId="48F1BF30">
      <w:pPr>
        <w:jc w:val="center"/>
        <w:rPr>
          <w:rFonts w:ascii="黑体" w:hAnsi="黑体" w:eastAsia="黑体" w:cs="黑体"/>
          <w:sz w:val="20"/>
          <w:szCs w:val="20"/>
          <w:highlight w:val="none"/>
        </w:rPr>
      </w:pPr>
      <w:r>
        <w:rPr>
          <w:rFonts w:hint="eastAsia" w:ascii="黑体" w:hAnsi="黑体" w:eastAsia="黑体" w:cs="黑体"/>
          <w:sz w:val="20"/>
          <w:szCs w:val="20"/>
          <w:highlight w:val="none"/>
        </w:rPr>
        <w:t>（资料性）</w:t>
      </w:r>
    </w:p>
    <w:p w14:paraId="7B63DBCE">
      <w:pPr>
        <w:spacing w:after="156" w:afterLines="50"/>
        <w:jc w:val="center"/>
        <w:rPr>
          <w:rFonts w:ascii="黑体" w:hAnsi="黑体" w:eastAsia="黑体" w:cs="黑体"/>
          <w:sz w:val="20"/>
          <w:szCs w:val="20"/>
        </w:rPr>
      </w:pPr>
      <w:r>
        <w:rPr>
          <w:rFonts w:hint="eastAsia" w:ascii="黑体" w:hAnsi="黑体" w:eastAsia="黑体" w:cs="黑体"/>
          <w:sz w:val="20"/>
          <w:szCs w:val="20"/>
        </w:rPr>
        <w:t>品质雷达图</w:t>
      </w:r>
    </w:p>
    <w:p w14:paraId="607B9E3E">
      <w:pPr>
        <w:ind w:firstLine="400"/>
        <w:jc w:val="left"/>
        <w:rPr>
          <w:rFonts w:asciiTheme="minorEastAsia" w:hAnsiTheme="minorEastAsia" w:cstheme="minorEastAsia"/>
          <w:sz w:val="20"/>
          <w:szCs w:val="20"/>
        </w:rPr>
      </w:pPr>
      <w:r>
        <w:rPr>
          <w:rFonts w:hint="eastAsia" w:asciiTheme="minorEastAsia" w:hAnsiTheme="minorEastAsia" w:cstheme="minorEastAsia"/>
          <w:sz w:val="20"/>
          <w:szCs w:val="20"/>
        </w:rPr>
        <w:t>为更好展示优质</w:t>
      </w:r>
      <w:r>
        <w:rPr>
          <w:rFonts w:hint="eastAsia" w:asciiTheme="minorEastAsia" w:hAnsiTheme="minorEastAsia" w:cstheme="minorEastAsia"/>
          <w:sz w:val="20"/>
          <w:szCs w:val="20"/>
          <w:lang w:val="en-US" w:eastAsia="zh-CN"/>
        </w:rPr>
        <w:t>赣南脐橙</w:t>
      </w:r>
      <w:r>
        <w:rPr>
          <w:rFonts w:hint="eastAsia" w:asciiTheme="minorEastAsia" w:hAnsiTheme="minorEastAsia" w:cstheme="minorEastAsia"/>
          <w:sz w:val="20"/>
          <w:szCs w:val="20"/>
        </w:rPr>
        <w:t>风味、品质特征，A级、A+级</w:t>
      </w:r>
      <w:r>
        <w:rPr>
          <w:rFonts w:hint="eastAsia" w:asciiTheme="minorEastAsia" w:hAnsiTheme="minorEastAsia" w:cstheme="minorEastAsia"/>
          <w:sz w:val="20"/>
          <w:szCs w:val="20"/>
          <w:lang w:val="en-US" w:eastAsia="zh-CN"/>
        </w:rPr>
        <w:t>赣南脐橙</w:t>
      </w:r>
      <w:r>
        <w:rPr>
          <w:rFonts w:hint="eastAsia" w:asciiTheme="minorEastAsia" w:hAnsiTheme="minorEastAsia" w:cstheme="minorEastAsia"/>
          <w:sz w:val="20"/>
          <w:szCs w:val="20"/>
        </w:rPr>
        <w:t>根据检验结果，查</w:t>
      </w:r>
      <w:r>
        <w:rPr>
          <w:rFonts w:hint="eastAsia" w:asciiTheme="minorEastAsia" w:hAnsiTheme="minorEastAsia" w:cstheme="minorEastAsia"/>
          <w:sz w:val="20"/>
          <w:szCs w:val="20"/>
          <w:lang w:val="en-US" w:eastAsia="zh-CN"/>
        </w:rPr>
        <w:t>脐橙</w:t>
      </w:r>
      <w:r>
        <w:rPr>
          <w:rFonts w:hint="eastAsia" w:asciiTheme="minorEastAsia" w:hAnsiTheme="minorEastAsia" w:cstheme="minorEastAsia"/>
          <w:sz w:val="20"/>
          <w:szCs w:val="20"/>
        </w:rPr>
        <w:t>品质示值对照表后制作品质雷达图供消费者参考，以便消费者选择自己适合的产品。</w:t>
      </w:r>
    </w:p>
    <w:p w14:paraId="5338A3FB">
      <w:pPr>
        <w:spacing w:before="156" w:beforeLines="50" w:after="156" w:afterLines="50"/>
        <w:jc w:val="center"/>
        <w:rPr>
          <w:rFonts w:ascii="黑体" w:hAnsi="黑体" w:eastAsia="黑体" w:cs="黑体"/>
          <w:sz w:val="20"/>
          <w:szCs w:val="20"/>
        </w:rPr>
      </w:pPr>
      <w:r>
        <w:rPr>
          <w:rFonts w:hint="eastAsia" w:ascii="黑体" w:hAnsi="黑体" w:eastAsia="黑体" w:cs="黑体"/>
          <w:sz w:val="20"/>
          <w:szCs w:val="20"/>
        </w:rPr>
        <w:t xml:space="preserve">表A.1  </w:t>
      </w:r>
      <w:r>
        <w:rPr>
          <w:rFonts w:hint="eastAsia" w:ascii="黑体" w:hAnsi="黑体" w:eastAsia="黑体" w:cs="黑体"/>
          <w:sz w:val="20"/>
          <w:szCs w:val="20"/>
          <w:lang w:val="en-US" w:eastAsia="zh-CN"/>
        </w:rPr>
        <w:t>赣南脐橙</w:t>
      </w:r>
      <w:r>
        <w:rPr>
          <w:rFonts w:hint="eastAsia" w:ascii="黑体" w:hAnsi="黑体" w:eastAsia="黑体" w:cs="黑体"/>
          <w:sz w:val="20"/>
          <w:szCs w:val="20"/>
        </w:rPr>
        <w:t>品质示值对照表</w:t>
      </w:r>
    </w:p>
    <w:tbl>
      <w:tblPr>
        <w:tblStyle w:val="9"/>
        <w:tblW w:w="499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1675"/>
        <w:gridCol w:w="1675"/>
        <w:gridCol w:w="1667"/>
        <w:gridCol w:w="2054"/>
        <w:gridCol w:w="1550"/>
      </w:tblGrid>
      <w:tr w14:paraId="5F3200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70" w:type="pct"/>
            <w:tcBorders>
              <w:bottom w:val="single" w:color="auto" w:sz="8" w:space="0"/>
            </w:tcBorders>
            <w:vAlign w:val="center"/>
          </w:tcPr>
          <w:p w14:paraId="4BE9221E">
            <w:pPr>
              <w:jc w:val="center"/>
              <w:rPr>
                <w:rFonts w:asciiTheme="minorEastAsia" w:hAnsiTheme="minorEastAsia" w:cstheme="minorEastAsia"/>
                <w:sz w:val="20"/>
                <w:szCs w:val="20"/>
              </w:rPr>
            </w:pPr>
            <w:r>
              <w:rPr>
                <w:rFonts w:hint="eastAsia" w:asciiTheme="minorEastAsia" w:hAnsiTheme="minorEastAsia" w:cstheme="minorEastAsia"/>
                <w:sz w:val="20"/>
                <w:szCs w:val="20"/>
              </w:rPr>
              <w:t>雷达图示值</w:t>
            </w:r>
          </w:p>
        </w:tc>
        <w:tc>
          <w:tcPr>
            <w:tcW w:w="841" w:type="pct"/>
            <w:tcBorders>
              <w:bottom w:val="single" w:color="auto" w:sz="8" w:space="0"/>
            </w:tcBorders>
            <w:vAlign w:val="center"/>
          </w:tcPr>
          <w:p w14:paraId="4012A0B9">
            <w:pPr>
              <w:jc w:val="center"/>
              <w:rPr>
                <w:rFonts w:asciiTheme="minorEastAsia" w:hAnsiTheme="minorEastAsia" w:cstheme="minorEastAsia"/>
                <w:sz w:val="20"/>
                <w:szCs w:val="20"/>
              </w:rPr>
            </w:pPr>
            <w:r>
              <w:rPr>
                <w:rFonts w:hint="eastAsia" w:asciiTheme="minorEastAsia" w:hAnsiTheme="minorEastAsia" w:cstheme="minorEastAsia"/>
                <w:sz w:val="20"/>
                <w:szCs w:val="20"/>
              </w:rPr>
              <w:t>可食率</w:t>
            </w:r>
          </w:p>
          <w:p w14:paraId="7A65C9F5">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w:t>
            </w:r>
          </w:p>
        </w:tc>
        <w:tc>
          <w:tcPr>
            <w:tcW w:w="841" w:type="pct"/>
            <w:tcBorders>
              <w:bottom w:val="single" w:color="auto" w:sz="8" w:space="0"/>
            </w:tcBorders>
            <w:vAlign w:val="center"/>
          </w:tcPr>
          <w:p w14:paraId="3F3323F0">
            <w:pPr>
              <w:jc w:val="center"/>
              <w:rPr>
                <w:rFonts w:asciiTheme="minorEastAsia" w:hAnsiTheme="minorEastAsia" w:cstheme="minorEastAsia"/>
                <w:sz w:val="20"/>
                <w:szCs w:val="20"/>
              </w:rPr>
            </w:pPr>
            <w:r>
              <w:rPr>
                <w:rFonts w:hint="eastAsia" w:asciiTheme="minorEastAsia" w:hAnsiTheme="minorEastAsia" w:cstheme="minorEastAsia"/>
                <w:sz w:val="20"/>
                <w:szCs w:val="20"/>
              </w:rPr>
              <w:t>果实横径</w:t>
            </w:r>
          </w:p>
          <w:p w14:paraId="11369CAD">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mm</w:t>
            </w:r>
          </w:p>
        </w:tc>
        <w:tc>
          <w:tcPr>
            <w:tcW w:w="837" w:type="pct"/>
            <w:tcBorders>
              <w:bottom w:val="single" w:color="auto" w:sz="8" w:space="0"/>
            </w:tcBorders>
            <w:vAlign w:val="center"/>
          </w:tcPr>
          <w:p w14:paraId="51DE4FF2">
            <w:pPr>
              <w:jc w:val="center"/>
              <w:rPr>
                <w:rFonts w:asciiTheme="minorEastAsia" w:hAnsiTheme="minorEastAsia" w:cstheme="minorEastAsia"/>
                <w:sz w:val="20"/>
                <w:szCs w:val="20"/>
              </w:rPr>
            </w:pPr>
            <w:r>
              <w:rPr>
                <w:rFonts w:hint="eastAsia" w:asciiTheme="minorEastAsia" w:hAnsiTheme="minorEastAsia" w:cstheme="minorEastAsia"/>
                <w:sz w:val="20"/>
                <w:szCs w:val="20"/>
              </w:rPr>
              <w:t>可溶性固形物</w:t>
            </w:r>
          </w:p>
          <w:p w14:paraId="40C1E9FD">
            <w:pPr>
              <w:jc w:val="center"/>
              <w:rPr>
                <w:rFonts w:asciiTheme="minorEastAsia" w:hAnsiTheme="minorEastAsia" w:cstheme="minorEastAsia"/>
                <w:sz w:val="20"/>
                <w:szCs w:val="20"/>
              </w:rPr>
            </w:pPr>
            <w:r>
              <w:rPr>
                <w:rFonts w:hint="eastAsia" w:asciiTheme="minorEastAsia" w:hAnsiTheme="minorEastAsia" w:cstheme="minorEastAsia"/>
                <w:sz w:val="20"/>
                <w:szCs w:val="20"/>
              </w:rPr>
              <w:t>%</w:t>
            </w:r>
          </w:p>
        </w:tc>
        <w:tc>
          <w:tcPr>
            <w:tcW w:w="1031" w:type="pct"/>
            <w:tcBorders>
              <w:bottom w:val="single" w:color="auto" w:sz="8" w:space="0"/>
            </w:tcBorders>
            <w:vAlign w:val="center"/>
          </w:tcPr>
          <w:p w14:paraId="679373EB">
            <w:pPr>
              <w:jc w:val="center"/>
              <w:rPr>
                <w:rFonts w:hint="eastAsia" w:asciiTheme="minorEastAsia" w:hAnsiTheme="minorEastAsia" w:cstheme="minorEastAsia"/>
                <w:sz w:val="20"/>
                <w:szCs w:val="20"/>
                <w:highlight w:val="none"/>
                <w:lang w:val="en-US" w:eastAsia="zh-CN"/>
              </w:rPr>
            </w:pPr>
            <w:r>
              <w:rPr>
                <w:rFonts w:hint="eastAsia" w:asciiTheme="minorEastAsia" w:hAnsiTheme="minorEastAsia" w:cstheme="minorEastAsia"/>
                <w:sz w:val="20"/>
                <w:szCs w:val="20"/>
                <w:highlight w:val="none"/>
                <w:lang w:val="en-US" w:eastAsia="zh-CN"/>
              </w:rPr>
              <w:t>可滴定酸</w:t>
            </w:r>
          </w:p>
          <w:p w14:paraId="29C8AF6E">
            <w:pPr>
              <w:jc w:val="center"/>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rPr>
              <w:t>g/</w:t>
            </w:r>
            <w:r>
              <w:rPr>
                <w:rFonts w:hint="eastAsia" w:asciiTheme="minorEastAsia" w:hAnsiTheme="minorEastAsia" w:cstheme="minorEastAsia"/>
                <w:sz w:val="20"/>
                <w:szCs w:val="20"/>
                <w:highlight w:val="none"/>
                <w:lang w:val="en-US" w:eastAsia="zh-CN"/>
              </w:rPr>
              <w:t>100mL</w:t>
            </w:r>
          </w:p>
        </w:tc>
        <w:tc>
          <w:tcPr>
            <w:tcW w:w="778" w:type="pct"/>
            <w:tcBorders>
              <w:bottom w:val="single" w:color="auto" w:sz="8" w:space="0"/>
            </w:tcBorders>
            <w:vAlign w:val="center"/>
          </w:tcPr>
          <w:p w14:paraId="0220F74D">
            <w:pPr>
              <w:jc w:val="center"/>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维生素C</w:t>
            </w:r>
          </w:p>
          <w:p w14:paraId="27108545">
            <w:pPr>
              <w:jc w:val="center"/>
              <w:rPr>
                <w:rFonts w:asciiTheme="minorEastAsia" w:hAnsiTheme="minorEastAsia" w:cstheme="minorEastAsia"/>
                <w:sz w:val="20"/>
                <w:szCs w:val="20"/>
              </w:rPr>
            </w:pPr>
            <w:r>
              <w:rPr>
                <w:rFonts w:hint="eastAsia" w:asciiTheme="minorEastAsia" w:hAnsiTheme="minorEastAsia" w:cstheme="minorEastAsia"/>
                <w:sz w:val="20"/>
                <w:szCs w:val="20"/>
                <w:lang w:val="en-US" w:eastAsia="zh-CN"/>
              </w:rPr>
              <w:t>m</w:t>
            </w:r>
            <w:r>
              <w:rPr>
                <w:rFonts w:hint="eastAsia" w:asciiTheme="minorEastAsia" w:hAnsiTheme="minorEastAsia" w:cstheme="minorEastAsia"/>
                <w:sz w:val="20"/>
                <w:szCs w:val="20"/>
              </w:rPr>
              <w:t>g/100g</w:t>
            </w:r>
          </w:p>
        </w:tc>
      </w:tr>
      <w:tr w14:paraId="7AE10F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70" w:type="pct"/>
            <w:tcBorders>
              <w:top w:val="single" w:color="auto" w:sz="8" w:space="0"/>
              <w:tl2br w:val="nil"/>
              <w:tr2bl w:val="nil"/>
            </w:tcBorders>
            <w:shd w:val="clear" w:color="auto" w:fill="auto"/>
            <w:vAlign w:val="center"/>
          </w:tcPr>
          <w:p w14:paraId="148D98FC">
            <w:pPr>
              <w:jc w:val="center"/>
              <w:rPr>
                <w:rFonts w:asciiTheme="minorEastAsia" w:hAnsiTheme="minorEastAsia" w:cstheme="minorEastAsia"/>
                <w:sz w:val="20"/>
                <w:szCs w:val="20"/>
              </w:rPr>
            </w:pPr>
            <w:r>
              <w:rPr>
                <w:rFonts w:hint="eastAsia" w:asciiTheme="minorEastAsia" w:hAnsiTheme="minorEastAsia" w:cstheme="minorEastAsia"/>
                <w:sz w:val="20"/>
                <w:szCs w:val="20"/>
              </w:rPr>
              <w:t>13</w:t>
            </w:r>
          </w:p>
        </w:tc>
        <w:tc>
          <w:tcPr>
            <w:tcW w:w="841" w:type="pct"/>
            <w:tcBorders>
              <w:top w:val="single" w:color="auto" w:sz="8" w:space="0"/>
              <w:tl2br w:val="nil"/>
              <w:tr2bl w:val="nil"/>
            </w:tcBorders>
            <w:vAlign w:val="center"/>
          </w:tcPr>
          <w:p w14:paraId="3EE21832">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65.0</w:t>
            </w:r>
          </w:p>
        </w:tc>
        <w:tc>
          <w:tcPr>
            <w:tcW w:w="841" w:type="pct"/>
            <w:tcBorders>
              <w:top w:val="single" w:color="auto" w:sz="8" w:space="0"/>
              <w:tl2br w:val="nil"/>
              <w:tr2bl w:val="nil"/>
            </w:tcBorders>
            <w:vAlign w:val="center"/>
          </w:tcPr>
          <w:p w14:paraId="61E1751E">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60</w:t>
            </w:r>
            <w:r>
              <w:rPr>
                <w:rFonts w:hint="eastAsia" w:asciiTheme="minorEastAsia" w:hAnsiTheme="minorEastAsia" w:cstheme="minorEastAsia"/>
                <w:sz w:val="20"/>
                <w:szCs w:val="20"/>
              </w:rPr>
              <w:t>.0</w:t>
            </w:r>
          </w:p>
        </w:tc>
        <w:tc>
          <w:tcPr>
            <w:tcW w:w="837" w:type="pct"/>
            <w:tcBorders>
              <w:top w:val="single" w:color="auto" w:sz="8" w:space="0"/>
              <w:tl2br w:val="nil"/>
              <w:tr2bl w:val="nil"/>
            </w:tcBorders>
            <w:vAlign w:val="center"/>
          </w:tcPr>
          <w:p w14:paraId="7AE9B96E">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8.0</w:t>
            </w:r>
          </w:p>
        </w:tc>
        <w:tc>
          <w:tcPr>
            <w:tcW w:w="1031" w:type="pct"/>
            <w:tcBorders>
              <w:top w:val="single" w:color="auto" w:sz="8" w:space="0"/>
              <w:tl2br w:val="nil"/>
              <w:tr2bl w:val="nil"/>
            </w:tcBorders>
            <w:vAlign w:val="center"/>
          </w:tcPr>
          <w:p w14:paraId="4A274E02">
            <w:pPr>
              <w:jc w:val="center"/>
              <w:rPr>
                <w:rFonts w:hint="default" w:asciiTheme="minorEastAsia" w:hAnsiTheme="minorEastAsia" w:cstheme="minorEastAsia"/>
                <w:sz w:val="20"/>
                <w:szCs w:val="20"/>
                <w:highlight w:val="none"/>
                <w:lang w:val="en-US"/>
              </w:rPr>
            </w:pPr>
            <w:r>
              <w:rPr>
                <w:rFonts w:hint="eastAsia" w:asciiTheme="minorEastAsia" w:hAnsiTheme="minorEastAsia" w:cstheme="minorEastAsia"/>
                <w:sz w:val="20"/>
                <w:szCs w:val="20"/>
                <w:highlight w:val="none"/>
              </w:rPr>
              <w:t>＞</w:t>
            </w:r>
            <w:r>
              <w:rPr>
                <w:rFonts w:hint="eastAsia" w:asciiTheme="minorEastAsia" w:hAnsiTheme="minorEastAsia" w:cstheme="minorEastAsia"/>
                <w:sz w:val="20"/>
                <w:szCs w:val="20"/>
                <w:highlight w:val="none"/>
                <w:lang w:val="en-US" w:eastAsia="zh-CN"/>
              </w:rPr>
              <w:t>0.80</w:t>
            </w:r>
          </w:p>
        </w:tc>
        <w:tc>
          <w:tcPr>
            <w:tcW w:w="778" w:type="pct"/>
            <w:tcBorders>
              <w:top w:val="single" w:color="auto" w:sz="8" w:space="0"/>
              <w:tl2br w:val="nil"/>
              <w:tr2bl w:val="nil"/>
            </w:tcBorders>
            <w:vAlign w:val="center"/>
          </w:tcPr>
          <w:p w14:paraId="5A2BB6E1">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30.0</w:t>
            </w:r>
          </w:p>
        </w:tc>
      </w:tr>
      <w:tr w14:paraId="08F178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70" w:type="pct"/>
            <w:tcBorders>
              <w:tl2br w:val="nil"/>
              <w:tr2bl w:val="nil"/>
            </w:tcBorders>
            <w:shd w:val="clear" w:color="auto" w:fill="auto"/>
            <w:vAlign w:val="center"/>
          </w:tcPr>
          <w:p w14:paraId="29A66E18">
            <w:pPr>
              <w:jc w:val="center"/>
              <w:rPr>
                <w:rFonts w:asciiTheme="minorEastAsia" w:hAnsiTheme="minorEastAsia" w:cstheme="minorEastAsia"/>
                <w:sz w:val="20"/>
                <w:szCs w:val="20"/>
              </w:rPr>
            </w:pPr>
            <w:r>
              <w:rPr>
                <w:rFonts w:hint="eastAsia" w:asciiTheme="minorEastAsia" w:hAnsiTheme="minorEastAsia" w:cstheme="minorEastAsia"/>
                <w:sz w:val="20"/>
                <w:szCs w:val="20"/>
              </w:rPr>
              <w:t>14</w:t>
            </w:r>
          </w:p>
        </w:tc>
        <w:tc>
          <w:tcPr>
            <w:tcW w:w="841" w:type="pct"/>
            <w:tcBorders>
              <w:tl2br w:val="nil"/>
              <w:tr2bl w:val="nil"/>
            </w:tcBorders>
            <w:vAlign w:val="center"/>
          </w:tcPr>
          <w:p w14:paraId="271E7011">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65.0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67.4</w:t>
            </w:r>
          </w:p>
        </w:tc>
        <w:tc>
          <w:tcPr>
            <w:tcW w:w="841" w:type="pct"/>
            <w:tcBorders>
              <w:tl2br w:val="nil"/>
              <w:tr2bl w:val="nil"/>
            </w:tcBorders>
            <w:vAlign w:val="center"/>
          </w:tcPr>
          <w:p w14:paraId="50D2468E">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60.0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64.9</w:t>
            </w:r>
          </w:p>
        </w:tc>
        <w:tc>
          <w:tcPr>
            <w:tcW w:w="837" w:type="pct"/>
            <w:tcBorders>
              <w:tl2br w:val="nil"/>
              <w:tr2bl w:val="nil"/>
            </w:tcBorders>
            <w:vAlign w:val="center"/>
          </w:tcPr>
          <w:p w14:paraId="299F966D">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8.0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9.9</w:t>
            </w:r>
          </w:p>
        </w:tc>
        <w:tc>
          <w:tcPr>
            <w:tcW w:w="1031" w:type="pct"/>
            <w:tcBorders>
              <w:tl2br w:val="nil"/>
              <w:tr2bl w:val="nil"/>
            </w:tcBorders>
            <w:vAlign w:val="center"/>
          </w:tcPr>
          <w:p w14:paraId="718AE777">
            <w:pPr>
              <w:jc w:val="center"/>
              <w:rPr>
                <w:rFonts w:hint="default" w:asciiTheme="minorEastAsia" w:hAnsiTheme="minorEastAsia" w:cstheme="minorEastAsia"/>
                <w:sz w:val="20"/>
                <w:szCs w:val="20"/>
                <w:highlight w:val="none"/>
                <w:lang w:val="en-US"/>
              </w:rPr>
            </w:pPr>
            <w:r>
              <w:rPr>
                <w:rFonts w:hint="eastAsia" w:asciiTheme="minorEastAsia" w:hAnsiTheme="minorEastAsia" w:cstheme="minorEastAsia"/>
                <w:sz w:val="20"/>
                <w:szCs w:val="20"/>
                <w:highlight w:val="none"/>
              </w:rPr>
              <w:t>0.</w:t>
            </w:r>
            <w:r>
              <w:rPr>
                <w:rFonts w:hint="eastAsia" w:asciiTheme="minorEastAsia" w:hAnsiTheme="minorEastAsia" w:cstheme="minorEastAsia"/>
                <w:sz w:val="20"/>
                <w:szCs w:val="20"/>
                <w:highlight w:val="none"/>
                <w:lang w:val="en-US" w:eastAsia="zh-CN"/>
              </w:rPr>
              <w:t>71</w:t>
            </w:r>
            <w:r>
              <w:rPr>
                <w:rFonts w:hint="eastAsia" w:asciiTheme="minorEastAsia" w:hAnsiTheme="minorEastAsia" w:cstheme="minorEastAsia"/>
                <w:sz w:val="20"/>
                <w:szCs w:val="20"/>
                <w:highlight w:val="none"/>
              </w:rPr>
              <w:t>-</w:t>
            </w:r>
            <w:r>
              <w:rPr>
                <w:rFonts w:hint="eastAsia" w:asciiTheme="minorEastAsia" w:hAnsiTheme="minorEastAsia" w:cstheme="minorEastAsia"/>
                <w:sz w:val="20"/>
                <w:szCs w:val="20"/>
                <w:highlight w:val="none"/>
                <w:lang w:val="en-US" w:eastAsia="zh-CN"/>
              </w:rPr>
              <w:t>0.80</w:t>
            </w:r>
          </w:p>
        </w:tc>
        <w:tc>
          <w:tcPr>
            <w:tcW w:w="778" w:type="pct"/>
            <w:tcBorders>
              <w:tl2br w:val="nil"/>
              <w:tr2bl w:val="nil"/>
            </w:tcBorders>
            <w:vAlign w:val="center"/>
          </w:tcPr>
          <w:p w14:paraId="7A7E5BEC">
            <w:pPr>
              <w:jc w:val="center"/>
              <w:rPr>
                <w:rFonts w:asciiTheme="minorEastAsia" w:hAnsiTheme="minorEastAsia" w:cstheme="minorEastAsia"/>
                <w:sz w:val="20"/>
                <w:szCs w:val="20"/>
              </w:rPr>
            </w:pPr>
            <w:r>
              <w:rPr>
                <w:rFonts w:hint="eastAsia" w:asciiTheme="minorEastAsia" w:hAnsiTheme="minorEastAsia" w:cstheme="minorEastAsia"/>
                <w:sz w:val="20"/>
                <w:szCs w:val="20"/>
                <w:lang w:val="en-US" w:eastAsia="zh-CN"/>
              </w:rPr>
              <w:t>30.0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34</w:t>
            </w:r>
            <w:r>
              <w:rPr>
                <w:rFonts w:hint="eastAsia" w:asciiTheme="minorEastAsia" w:hAnsiTheme="minorEastAsia" w:cstheme="minorEastAsia"/>
                <w:sz w:val="20"/>
                <w:szCs w:val="20"/>
              </w:rPr>
              <w:t>.9</w:t>
            </w:r>
          </w:p>
        </w:tc>
      </w:tr>
      <w:tr w14:paraId="10C238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70" w:type="pct"/>
            <w:tcBorders>
              <w:tl2br w:val="nil"/>
              <w:tr2bl w:val="nil"/>
            </w:tcBorders>
            <w:shd w:val="clear" w:color="auto" w:fill="auto"/>
            <w:vAlign w:val="center"/>
          </w:tcPr>
          <w:p w14:paraId="6D590BF2">
            <w:pPr>
              <w:jc w:val="center"/>
              <w:rPr>
                <w:rFonts w:asciiTheme="minorEastAsia" w:hAnsiTheme="minorEastAsia" w:cstheme="minorEastAsia"/>
                <w:sz w:val="20"/>
                <w:szCs w:val="20"/>
              </w:rPr>
            </w:pPr>
            <w:r>
              <w:rPr>
                <w:rFonts w:hint="eastAsia" w:asciiTheme="minorEastAsia" w:hAnsiTheme="minorEastAsia" w:cstheme="minorEastAsia"/>
                <w:sz w:val="20"/>
                <w:szCs w:val="20"/>
              </w:rPr>
              <w:t>15</w:t>
            </w:r>
          </w:p>
        </w:tc>
        <w:tc>
          <w:tcPr>
            <w:tcW w:w="841" w:type="pct"/>
            <w:tcBorders>
              <w:tl2br w:val="nil"/>
              <w:tr2bl w:val="nil"/>
            </w:tcBorders>
            <w:vAlign w:val="center"/>
          </w:tcPr>
          <w:p w14:paraId="21149642">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67.5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69.9</w:t>
            </w:r>
          </w:p>
        </w:tc>
        <w:tc>
          <w:tcPr>
            <w:tcW w:w="841" w:type="pct"/>
            <w:tcBorders>
              <w:tl2br w:val="nil"/>
              <w:tr2bl w:val="nil"/>
            </w:tcBorders>
            <w:vAlign w:val="center"/>
          </w:tcPr>
          <w:p w14:paraId="40F55298">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65.0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69.9</w:t>
            </w:r>
          </w:p>
        </w:tc>
        <w:tc>
          <w:tcPr>
            <w:tcW w:w="837" w:type="pct"/>
            <w:tcBorders>
              <w:tl2br w:val="nil"/>
              <w:tr2bl w:val="nil"/>
            </w:tcBorders>
            <w:vAlign w:val="center"/>
          </w:tcPr>
          <w:p w14:paraId="68A5D63A">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10.0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11.9</w:t>
            </w:r>
          </w:p>
        </w:tc>
        <w:tc>
          <w:tcPr>
            <w:tcW w:w="1031" w:type="pct"/>
            <w:tcBorders>
              <w:tl2br w:val="nil"/>
              <w:tr2bl w:val="nil"/>
            </w:tcBorders>
            <w:vAlign w:val="center"/>
          </w:tcPr>
          <w:p w14:paraId="2B457669">
            <w:pPr>
              <w:jc w:val="center"/>
              <w:rPr>
                <w:rFonts w:hint="default" w:asciiTheme="minorEastAsia" w:hAnsiTheme="minorEastAsia" w:cstheme="minorEastAsia"/>
                <w:sz w:val="20"/>
                <w:szCs w:val="20"/>
                <w:highlight w:val="none"/>
                <w:lang w:val="en-US"/>
              </w:rPr>
            </w:pPr>
            <w:r>
              <w:rPr>
                <w:rFonts w:hint="eastAsia" w:asciiTheme="minorEastAsia" w:hAnsiTheme="minorEastAsia" w:cstheme="minorEastAsia"/>
                <w:sz w:val="20"/>
                <w:szCs w:val="20"/>
                <w:highlight w:val="none"/>
              </w:rPr>
              <w:t>0.</w:t>
            </w:r>
            <w:r>
              <w:rPr>
                <w:rFonts w:hint="eastAsia" w:asciiTheme="minorEastAsia" w:hAnsiTheme="minorEastAsia" w:cstheme="minorEastAsia"/>
                <w:sz w:val="20"/>
                <w:szCs w:val="20"/>
                <w:highlight w:val="none"/>
                <w:lang w:val="en-US" w:eastAsia="zh-CN"/>
              </w:rPr>
              <w:t>61</w:t>
            </w:r>
            <w:r>
              <w:rPr>
                <w:rFonts w:hint="eastAsia" w:asciiTheme="minorEastAsia" w:hAnsiTheme="minorEastAsia" w:cstheme="minorEastAsia"/>
                <w:sz w:val="20"/>
                <w:szCs w:val="20"/>
                <w:highlight w:val="none"/>
              </w:rPr>
              <w:t>-</w:t>
            </w:r>
            <w:r>
              <w:rPr>
                <w:rFonts w:hint="eastAsia" w:asciiTheme="minorEastAsia" w:hAnsiTheme="minorEastAsia" w:cstheme="minorEastAsia"/>
                <w:sz w:val="20"/>
                <w:szCs w:val="20"/>
                <w:highlight w:val="none"/>
                <w:lang w:val="en-US" w:eastAsia="zh-CN"/>
              </w:rPr>
              <w:t>0.70</w:t>
            </w:r>
          </w:p>
        </w:tc>
        <w:tc>
          <w:tcPr>
            <w:tcW w:w="778" w:type="pct"/>
            <w:tcBorders>
              <w:tl2br w:val="nil"/>
              <w:tr2bl w:val="nil"/>
            </w:tcBorders>
            <w:vAlign w:val="center"/>
          </w:tcPr>
          <w:p w14:paraId="4018A162">
            <w:pPr>
              <w:jc w:val="center"/>
              <w:rPr>
                <w:rFonts w:asciiTheme="minorEastAsia" w:hAnsiTheme="minorEastAsia" w:cstheme="minorEastAsia"/>
                <w:sz w:val="20"/>
                <w:szCs w:val="20"/>
              </w:rPr>
            </w:pPr>
            <w:r>
              <w:rPr>
                <w:rFonts w:hint="eastAsia" w:asciiTheme="minorEastAsia" w:hAnsiTheme="minorEastAsia" w:cstheme="minorEastAsia"/>
                <w:sz w:val="20"/>
                <w:szCs w:val="20"/>
                <w:lang w:val="en-US" w:eastAsia="zh-CN"/>
              </w:rPr>
              <w:t>35.0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39</w:t>
            </w:r>
            <w:r>
              <w:rPr>
                <w:rFonts w:hint="eastAsia" w:asciiTheme="minorEastAsia" w:hAnsiTheme="minorEastAsia" w:cstheme="minorEastAsia"/>
                <w:sz w:val="20"/>
                <w:szCs w:val="20"/>
              </w:rPr>
              <w:t>.9</w:t>
            </w:r>
          </w:p>
        </w:tc>
      </w:tr>
      <w:tr w14:paraId="7C489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70" w:type="pct"/>
            <w:tcBorders>
              <w:tl2br w:val="nil"/>
              <w:tr2bl w:val="nil"/>
            </w:tcBorders>
            <w:shd w:val="clear" w:color="auto" w:fill="auto"/>
            <w:vAlign w:val="center"/>
          </w:tcPr>
          <w:p w14:paraId="392D592A">
            <w:pPr>
              <w:jc w:val="center"/>
              <w:rPr>
                <w:rFonts w:asciiTheme="minorEastAsia" w:hAnsiTheme="minorEastAsia" w:cstheme="minorEastAsia"/>
                <w:sz w:val="20"/>
                <w:szCs w:val="20"/>
              </w:rPr>
            </w:pPr>
            <w:r>
              <w:rPr>
                <w:rFonts w:hint="eastAsia" w:asciiTheme="minorEastAsia" w:hAnsiTheme="minorEastAsia" w:cstheme="minorEastAsia"/>
                <w:sz w:val="20"/>
                <w:szCs w:val="20"/>
              </w:rPr>
              <w:t>16</w:t>
            </w:r>
          </w:p>
        </w:tc>
        <w:tc>
          <w:tcPr>
            <w:tcW w:w="841" w:type="pct"/>
            <w:tcBorders>
              <w:tl2br w:val="nil"/>
              <w:tr2bl w:val="nil"/>
            </w:tcBorders>
            <w:shd w:val="clear" w:color="auto" w:fill="auto"/>
            <w:vAlign w:val="center"/>
          </w:tcPr>
          <w:p w14:paraId="247F3696">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70.0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72.4</w:t>
            </w:r>
          </w:p>
        </w:tc>
        <w:tc>
          <w:tcPr>
            <w:tcW w:w="841" w:type="pct"/>
            <w:tcBorders>
              <w:tl2br w:val="nil"/>
              <w:tr2bl w:val="nil"/>
            </w:tcBorders>
            <w:shd w:val="clear" w:color="auto" w:fill="auto"/>
            <w:vAlign w:val="center"/>
          </w:tcPr>
          <w:p w14:paraId="2011DC60">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70.0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74.9</w:t>
            </w:r>
          </w:p>
        </w:tc>
        <w:tc>
          <w:tcPr>
            <w:tcW w:w="837" w:type="pct"/>
            <w:tcBorders>
              <w:tl2br w:val="nil"/>
              <w:tr2bl w:val="nil"/>
            </w:tcBorders>
            <w:shd w:val="clear" w:color="auto" w:fill="auto"/>
            <w:vAlign w:val="center"/>
          </w:tcPr>
          <w:p w14:paraId="00085B9F">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12.0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13.9</w:t>
            </w:r>
          </w:p>
        </w:tc>
        <w:tc>
          <w:tcPr>
            <w:tcW w:w="1031" w:type="pct"/>
            <w:tcBorders>
              <w:tl2br w:val="nil"/>
              <w:tr2bl w:val="nil"/>
            </w:tcBorders>
            <w:vAlign w:val="center"/>
          </w:tcPr>
          <w:p w14:paraId="0987CC34">
            <w:pPr>
              <w:jc w:val="center"/>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rPr>
              <w:t>0</w:t>
            </w:r>
            <w:r>
              <w:rPr>
                <w:rFonts w:hint="eastAsia" w:asciiTheme="minorEastAsia" w:hAnsiTheme="minorEastAsia" w:cstheme="minorEastAsia"/>
                <w:sz w:val="20"/>
                <w:szCs w:val="20"/>
                <w:highlight w:val="none"/>
                <w:lang w:val="en-US" w:eastAsia="zh-CN"/>
              </w:rPr>
              <w:t>.51</w:t>
            </w:r>
            <w:r>
              <w:rPr>
                <w:rFonts w:hint="eastAsia" w:asciiTheme="minorEastAsia" w:hAnsiTheme="minorEastAsia" w:cstheme="minorEastAsia"/>
                <w:sz w:val="20"/>
                <w:szCs w:val="20"/>
                <w:highlight w:val="none"/>
              </w:rPr>
              <w:t>-0.</w:t>
            </w:r>
            <w:r>
              <w:rPr>
                <w:rFonts w:hint="eastAsia" w:asciiTheme="minorEastAsia" w:hAnsiTheme="minorEastAsia" w:cstheme="minorEastAsia"/>
                <w:sz w:val="20"/>
                <w:szCs w:val="20"/>
                <w:highlight w:val="none"/>
                <w:lang w:val="en-US" w:eastAsia="zh-CN"/>
              </w:rPr>
              <w:t>60</w:t>
            </w:r>
          </w:p>
        </w:tc>
        <w:tc>
          <w:tcPr>
            <w:tcW w:w="778" w:type="pct"/>
            <w:tcBorders>
              <w:tl2br w:val="nil"/>
              <w:tr2bl w:val="nil"/>
            </w:tcBorders>
            <w:shd w:val="clear" w:color="auto" w:fill="auto"/>
            <w:vAlign w:val="center"/>
          </w:tcPr>
          <w:p w14:paraId="35927068">
            <w:pPr>
              <w:jc w:val="center"/>
              <w:rPr>
                <w:rFonts w:asciiTheme="minorEastAsia" w:hAnsiTheme="minorEastAsia" w:cstheme="minorEastAsia"/>
                <w:sz w:val="20"/>
                <w:szCs w:val="20"/>
              </w:rPr>
            </w:pPr>
            <w:r>
              <w:rPr>
                <w:rFonts w:hint="eastAsia" w:asciiTheme="minorEastAsia" w:hAnsiTheme="minorEastAsia" w:cstheme="minorEastAsia"/>
                <w:sz w:val="20"/>
                <w:szCs w:val="20"/>
                <w:lang w:val="en-US" w:eastAsia="zh-CN"/>
              </w:rPr>
              <w:t>40.0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44</w:t>
            </w:r>
            <w:r>
              <w:rPr>
                <w:rFonts w:hint="eastAsia" w:asciiTheme="minorEastAsia" w:hAnsiTheme="minorEastAsia" w:cstheme="minorEastAsia"/>
                <w:sz w:val="20"/>
                <w:szCs w:val="20"/>
              </w:rPr>
              <w:t>.9</w:t>
            </w:r>
          </w:p>
        </w:tc>
      </w:tr>
      <w:tr w14:paraId="26635D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70" w:type="pct"/>
            <w:tcBorders>
              <w:tl2br w:val="nil"/>
              <w:tr2bl w:val="nil"/>
            </w:tcBorders>
            <w:shd w:val="clear" w:color="auto" w:fill="auto"/>
            <w:vAlign w:val="center"/>
          </w:tcPr>
          <w:p w14:paraId="145D3B88">
            <w:pPr>
              <w:jc w:val="center"/>
              <w:rPr>
                <w:rFonts w:asciiTheme="minorEastAsia" w:hAnsiTheme="minorEastAsia" w:cstheme="minorEastAsia"/>
                <w:sz w:val="20"/>
                <w:szCs w:val="20"/>
              </w:rPr>
            </w:pPr>
            <w:r>
              <w:rPr>
                <w:rFonts w:hint="eastAsia" w:asciiTheme="minorEastAsia" w:hAnsiTheme="minorEastAsia" w:cstheme="minorEastAsia"/>
                <w:sz w:val="20"/>
                <w:szCs w:val="20"/>
              </w:rPr>
              <w:t>17</w:t>
            </w:r>
          </w:p>
        </w:tc>
        <w:tc>
          <w:tcPr>
            <w:tcW w:w="841" w:type="pct"/>
            <w:tcBorders>
              <w:tl2br w:val="nil"/>
              <w:tr2bl w:val="nil"/>
            </w:tcBorders>
            <w:shd w:val="clear" w:color="auto" w:fill="auto"/>
            <w:vAlign w:val="center"/>
          </w:tcPr>
          <w:p w14:paraId="29CEF8A5">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72.5</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74.9</w:t>
            </w:r>
          </w:p>
        </w:tc>
        <w:tc>
          <w:tcPr>
            <w:tcW w:w="841" w:type="pct"/>
            <w:tcBorders>
              <w:tl2br w:val="nil"/>
              <w:tr2bl w:val="nil"/>
            </w:tcBorders>
            <w:shd w:val="clear" w:color="auto" w:fill="auto"/>
            <w:vAlign w:val="center"/>
          </w:tcPr>
          <w:p w14:paraId="7BE2F2EA">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75.0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79.9</w:t>
            </w:r>
          </w:p>
        </w:tc>
        <w:tc>
          <w:tcPr>
            <w:tcW w:w="837" w:type="pct"/>
            <w:tcBorders>
              <w:tl2br w:val="nil"/>
              <w:tr2bl w:val="nil"/>
            </w:tcBorders>
            <w:shd w:val="clear" w:color="auto" w:fill="auto"/>
            <w:vAlign w:val="center"/>
          </w:tcPr>
          <w:p w14:paraId="2F430C36">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14.0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15.9</w:t>
            </w:r>
          </w:p>
        </w:tc>
        <w:tc>
          <w:tcPr>
            <w:tcW w:w="1031" w:type="pct"/>
            <w:tcBorders>
              <w:tl2br w:val="nil"/>
              <w:tr2bl w:val="nil"/>
            </w:tcBorders>
            <w:vAlign w:val="center"/>
          </w:tcPr>
          <w:p w14:paraId="62C8D0A8">
            <w:pPr>
              <w:jc w:val="center"/>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cstheme="minorEastAsia"/>
                <w:sz w:val="20"/>
                <w:szCs w:val="20"/>
                <w:highlight w:val="none"/>
              </w:rPr>
              <w:t>0.</w:t>
            </w:r>
            <w:r>
              <w:rPr>
                <w:rFonts w:hint="eastAsia" w:asciiTheme="minorEastAsia" w:hAnsiTheme="minorEastAsia" w:cstheme="minorEastAsia"/>
                <w:sz w:val="20"/>
                <w:szCs w:val="20"/>
                <w:highlight w:val="none"/>
                <w:lang w:val="en-US" w:eastAsia="zh-CN"/>
              </w:rPr>
              <w:t>41</w:t>
            </w:r>
            <w:r>
              <w:rPr>
                <w:rFonts w:hint="eastAsia" w:asciiTheme="minorEastAsia" w:hAnsiTheme="minorEastAsia" w:cstheme="minorEastAsia"/>
                <w:sz w:val="20"/>
                <w:szCs w:val="20"/>
                <w:highlight w:val="none"/>
              </w:rPr>
              <w:t>-</w:t>
            </w:r>
            <w:r>
              <w:rPr>
                <w:rFonts w:hint="eastAsia" w:asciiTheme="minorEastAsia" w:hAnsiTheme="minorEastAsia" w:cstheme="minorEastAsia"/>
                <w:sz w:val="20"/>
                <w:szCs w:val="20"/>
                <w:highlight w:val="none"/>
                <w:lang w:val="en-US" w:eastAsia="zh-CN"/>
              </w:rPr>
              <w:t>0.50</w:t>
            </w:r>
          </w:p>
        </w:tc>
        <w:tc>
          <w:tcPr>
            <w:tcW w:w="778" w:type="pct"/>
            <w:tcBorders>
              <w:tl2br w:val="nil"/>
              <w:tr2bl w:val="nil"/>
            </w:tcBorders>
            <w:shd w:val="clear" w:color="auto" w:fill="auto"/>
            <w:vAlign w:val="center"/>
          </w:tcPr>
          <w:p w14:paraId="5AB31E8C">
            <w:pPr>
              <w:jc w:val="center"/>
              <w:rPr>
                <w:rFonts w:asciiTheme="minorEastAsia" w:hAnsiTheme="minorEastAsia" w:cstheme="minorEastAsia"/>
                <w:sz w:val="20"/>
                <w:szCs w:val="20"/>
              </w:rPr>
            </w:pPr>
            <w:r>
              <w:rPr>
                <w:rFonts w:hint="eastAsia" w:asciiTheme="minorEastAsia" w:hAnsiTheme="minorEastAsia" w:cstheme="minorEastAsia"/>
                <w:sz w:val="20"/>
                <w:szCs w:val="20"/>
                <w:lang w:val="en-US" w:eastAsia="zh-CN"/>
              </w:rPr>
              <w:t>45.0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49</w:t>
            </w:r>
            <w:r>
              <w:rPr>
                <w:rFonts w:hint="eastAsia" w:asciiTheme="minorEastAsia" w:hAnsiTheme="minorEastAsia" w:cstheme="minorEastAsia"/>
                <w:sz w:val="20"/>
                <w:szCs w:val="20"/>
              </w:rPr>
              <w:t>.9</w:t>
            </w:r>
          </w:p>
        </w:tc>
      </w:tr>
      <w:tr w14:paraId="6CBA80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70" w:type="pct"/>
            <w:tcBorders>
              <w:tl2br w:val="nil"/>
              <w:tr2bl w:val="nil"/>
            </w:tcBorders>
            <w:shd w:val="clear" w:color="auto" w:fill="auto"/>
            <w:vAlign w:val="center"/>
          </w:tcPr>
          <w:p w14:paraId="5F3882DD">
            <w:pPr>
              <w:jc w:val="center"/>
              <w:rPr>
                <w:rFonts w:asciiTheme="minorEastAsia" w:hAnsiTheme="minorEastAsia" w:cstheme="minorEastAsia"/>
                <w:sz w:val="20"/>
                <w:szCs w:val="20"/>
              </w:rPr>
            </w:pPr>
            <w:r>
              <w:rPr>
                <w:rFonts w:hint="eastAsia" w:asciiTheme="minorEastAsia" w:hAnsiTheme="minorEastAsia" w:cstheme="minorEastAsia"/>
                <w:sz w:val="20"/>
                <w:szCs w:val="20"/>
              </w:rPr>
              <w:t>18</w:t>
            </w:r>
          </w:p>
        </w:tc>
        <w:tc>
          <w:tcPr>
            <w:tcW w:w="841" w:type="pct"/>
            <w:tcBorders>
              <w:tl2br w:val="nil"/>
              <w:tr2bl w:val="nil"/>
            </w:tcBorders>
            <w:shd w:val="clear" w:color="auto" w:fill="auto"/>
            <w:vAlign w:val="center"/>
          </w:tcPr>
          <w:p w14:paraId="4ADCD4A0">
            <w:pPr>
              <w:jc w:val="center"/>
              <w:rPr>
                <w:rFonts w:hint="eastAsia" w:asciiTheme="minorEastAsia" w:hAnsiTheme="minorEastAsia" w:eastAsiaTheme="minorEastAsia" w:cstheme="minorEastAsia"/>
                <w:sz w:val="20"/>
                <w:szCs w:val="20"/>
                <w:lang w:eastAsia="zh-CN"/>
              </w:rPr>
            </w:pPr>
            <w:r>
              <w:rPr>
                <w:rFonts w:hint="eastAsia" w:asciiTheme="minorEastAsia" w:hAnsiTheme="minorEastAsia" w:cstheme="minorEastAsia"/>
                <w:sz w:val="20"/>
                <w:szCs w:val="20"/>
              </w:rPr>
              <w:t>7</w:t>
            </w:r>
            <w:r>
              <w:rPr>
                <w:rFonts w:hint="eastAsia" w:asciiTheme="minorEastAsia" w:hAnsiTheme="minorEastAsia" w:cstheme="minorEastAsia"/>
                <w:sz w:val="20"/>
                <w:szCs w:val="20"/>
                <w:lang w:val="en-US" w:eastAsia="zh-CN"/>
              </w:rPr>
              <w:t>5.0</w:t>
            </w:r>
            <w:r>
              <w:rPr>
                <w:rFonts w:hint="eastAsia" w:asciiTheme="minorEastAsia" w:hAnsiTheme="minorEastAsia" w:cstheme="minorEastAsia"/>
                <w:sz w:val="20"/>
                <w:szCs w:val="20"/>
              </w:rPr>
              <w:t>-7</w:t>
            </w:r>
            <w:r>
              <w:rPr>
                <w:rFonts w:hint="eastAsia" w:asciiTheme="minorEastAsia" w:hAnsiTheme="minorEastAsia" w:cstheme="minorEastAsia"/>
                <w:sz w:val="20"/>
                <w:szCs w:val="20"/>
                <w:lang w:val="en-US" w:eastAsia="zh-CN"/>
              </w:rPr>
              <w:t>7</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4</w:t>
            </w:r>
          </w:p>
        </w:tc>
        <w:tc>
          <w:tcPr>
            <w:tcW w:w="841" w:type="pct"/>
            <w:tcBorders>
              <w:tl2br w:val="nil"/>
              <w:tr2bl w:val="nil"/>
            </w:tcBorders>
            <w:shd w:val="clear" w:color="auto" w:fill="auto"/>
            <w:vAlign w:val="center"/>
          </w:tcPr>
          <w:p w14:paraId="4AC9DD9F">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80.0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84.9</w:t>
            </w:r>
          </w:p>
        </w:tc>
        <w:tc>
          <w:tcPr>
            <w:tcW w:w="837" w:type="pct"/>
            <w:tcBorders>
              <w:tl2br w:val="nil"/>
              <w:tr2bl w:val="nil"/>
            </w:tcBorders>
            <w:shd w:val="clear" w:color="auto" w:fill="auto"/>
            <w:vAlign w:val="center"/>
          </w:tcPr>
          <w:p w14:paraId="630D243E">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16.0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17.9</w:t>
            </w:r>
          </w:p>
        </w:tc>
        <w:tc>
          <w:tcPr>
            <w:tcW w:w="1031" w:type="pct"/>
            <w:tcBorders>
              <w:tl2br w:val="nil"/>
              <w:tr2bl w:val="nil"/>
            </w:tcBorders>
            <w:vAlign w:val="center"/>
          </w:tcPr>
          <w:p w14:paraId="56F6CF74">
            <w:pPr>
              <w:jc w:val="center"/>
              <w:rPr>
                <w:rFonts w:hint="default" w:asciiTheme="minorEastAsia" w:hAnsiTheme="minorEastAsia" w:cstheme="minorEastAsia"/>
                <w:sz w:val="20"/>
                <w:szCs w:val="20"/>
                <w:highlight w:val="none"/>
                <w:lang w:val="en-US"/>
              </w:rPr>
            </w:pPr>
            <w:r>
              <w:rPr>
                <w:rFonts w:hint="eastAsia" w:asciiTheme="minorEastAsia" w:hAnsiTheme="minorEastAsia" w:cstheme="minorEastAsia"/>
                <w:sz w:val="20"/>
                <w:szCs w:val="20"/>
                <w:highlight w:val="none"/>
              </w:rPr>
              <w:t>0.</w:t>
            </w:r>
            <w:r>
              <w:rPr>
                <w:rFonts w:hint="eastAsia" w:asciiTheme="minorEastAsia" w:hAnsiTheme="minorEastAsia" w:cstheme="minorEastAsia"/>
                <w:sz w:val="20"/>
                <w:szCs w:val="20"/>
                <w:highlight w:val="none"/>
                <w:lang w:val="en-US" w:eastAsia="zh-CN"/>
              </w:rPr>
              <w:t>31</w:t>
            </w:r>
            <w:r>
              <w:rPr>
                <w:rFonts w:hint="eastAsia" w:asciiTheme="minorEastAsia" w:hAnsiTheme="minorEastAsia" w:cstheme="minorEastAsia"/>
                <w:sz w:val="20"/>
                <w:szCs w:val="20"/>
                <w:highlight w:val="none"/>
              </w:rPr>
              <w:t>-0.</w:t>
            </w:r>
            <w:r>
              <w:rPr>
                <w:rFonts w:hint="eastAsia" w:asciiTheme="minorEastAsia" w:hAnsiTheme="minorEastAsia" w:cstheme="minorEastAsia"/>
                <w:sz w:val="20"/>
                <w:szCs w:val="20"/>
                <w:highlight w:val="none"/>
                <w:lang w:val="en-US" w:eastAsia="zh-CN"/>
              </w:rPr>
              <w:t>40</w:t>
            </w:r>
          </w:p>
        </w:tc>
        <w:tc>
          <w:tcPr>
            <w:tcW w:w="778" w:type="pct"/>
            <w:tcBorders>
              <w:tl2br w:val="nil"/>
              <w:tr2bl w:val="nil"/>
            </w:tcBorders>
            <w:shd w:val="clear" w:color="auto" w:fill="auto"/>
            <w:vAlign w:val="center"/>
          </w:tcPr>
          <w:p w14:paraId="606A20D5">
            <w:pPr>
              <w:jc w:val="center"/>
              <w:rPr>
                <w:rFonts w:asciiTheme="minorEastAsia" w:hAnsiTheme="minorEastAsia" w:cstheme="minorEastAsia"/>
                <w:sz w:val="20"/>
                <w:szCs w:val="20"/>
              </w:rPr>
            </w:pPr>
            <w:r>
              <w:rPr>
                <w:rFonts w:hint="eastAsia" w:asciiTheme="minorEastAsia" w:hAnsiTheme="minorEastAsia" w:cstheme="minorEastAsia"/>
                <w:sz w:val="20"/>
                <w:szCs w:val="20"/>
                <w:lang w:val="en-US" w:eastAsia="zh-CN"/>
              </w:rPr>
              <w:t>50.0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54</w:t>
            </w:r>
            <w:r>
              <w:rPr>
                <w:rFonts w:hint="eastAsia" w:asciiTheme="minorEastAsia" w:hAnsiTheme="minorEastAsia" w:cstheme="minorEastAsia"/>
                <w:sz w:val="20"/>
                <w:szCs w:val="20"/>
              </w:rPr>
              <w:t>.9</w:t>
            </w:r>
          </w:p>
        </w:tc>
      </w:tr>
      <w:tr w14:paraId="0F0AE7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70" w:type="pct"/>
            <w:tcBorders>
              <w:tl2br w:val="nil"/>
              <w:tr2bl w:val="nil"/>
            </w:tcBorders>
            <w:shd w:val="clear" w:color="auto" w:fill="auto"/>
            <w:vAlign w:val="center"/>
          </w:tcPr>
          <w:p w14:paraId="104BC7EB">
            <w:pPr>
              <w:jc w:val="center"/>
              <w:rPr>
                <w:rFonts w:asciiTheme="minorEastAsia" w:hAnsiTheme="minorEastAsia" w:cstheme="minorEastAsia"/>
                <w:sz w:val="20"/>
                <w:szCs w:val="20"/>
              </w:rPr>
            </w:pPr>
            <w:r>
              <w:rPr>
                <w:rFonts w:hint="eastAsia" w:asciiTheme="minorEastAsia" w:hAnsiTheme="minorEastAsia" w:cstheme="minorEastAsia"/>
                <w:sz w:val="20"/>
                <w:szCs w:val="20"/>
              </w:rPr>
              <w:t>19</w:t>
            </w:r>
          </w:p>
        </w:tc>
        <w:tc>
          <w:tcPr>
            <w:tcW w:w="841" w:type="pct"/>
            <w:tcBorders>
              <w:tl2br w:val="nil"/>
              <w:tr2bl w:val="nil"/>
            </w:tcBorders>
            <w:vAlign w:val="center"/>
          </w:tcPr>
          <w:p w14:paraId="48910975">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7</w:t>
            </w:r>
            <w:r>
              <w:rPr>
                <w:rFonts w:hint="eastAsia" w:asciiTheme="minorEastAsia" w:hAnsiTheme="minorEastAsia" w:cstheme="minorEastAsia"/>
                <w:sz w:val="20"/>
                <w:szCs w:val="20"/>
                <w:lang w:val="en-US" w:eastAsia="zh-CN"/>
              </w:rPr>
              <w:t>7.5</w:t>
            </w:r>
            <w:r>
              <w:rPr>
                <w:rFonts w:hint="eastAsia" w:asciiTheme="minorEastAsia" w:hAnsiTheme="minorEastAsia" w:cstheme="minorEastAsia"/>
                <w:sz w:val="20"/>
                <w:szCs w:val="20"/>
              </w:rPr>
              <w:t>-7</w:t>
            </w:r>
            <w:r>
              <w:rPr>
                <w:rFonts w:hint="eastAsia" w:asciiTheme="minorEastAsia" w:hAnsiTheme="minorEastAsia" w:cstheme="minorEastAsia"/>
                <w:sz w:val="20"/>
                <w:szCs w:val="20"/>
                <w:lang w:val="en-US" w:eastAsia="zh-CN"/>
              </w:rPr>
              <w:t>9.</w:t>
            </w:r>
            <w:r>
              <w:rPr>
                <w:rFonts w:hint="eastAsia" w:asciiTheme="minorEastAsia" w:hAnsiTheme="minorEastAsia" w:cstheme="minorEastAsia"/>
                <w:sz w:val="20"/>
                <w:szCs w:val="20"/>
              </w:rPr>
              <w:t>9</w:t>
            </w:r>
          </w:p>
        </w:tc>
        <w:tc>
          <w:tcPr>
            <w:tcW w:w="841" w:type="pct"/>
            <w:tcBorders>
              <w:tl2br w:val="nil"/>
              <w:tr2bl w:val="nil"/>
            </w:tcBorders>
            <w:vAlign w:val="center"/>
          </w:tcPr>
          <w:p w14:paraId="2F5EDDAE">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lang w:val="en-US" w:eastAsia="zh-CN"/>
              </w:rPr>
              <w:t>85.0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89</w:t>
            </w:r>
            <w:r>
              <w:rPr>
                <w:rFonts w:hint="eastAsia" w:asciiTheme="minorEastAsia" w:hAnsiTheme="minorEastAsia" w:cstheme="minorEastAsia"/>
                <w:sz w:val="20"/>
                <w:szCs w:val="20"/>
              </w:rPr>
              <w:t>.9</w:t>
            </w:r>
          </w:p>
        </w:tc>
        <w:tc>
          <w:tcPr>
            <w:tcW w:w="837" w:type="pct"/>
            <w:tcBorders>
              <w:tl2br w:val="nil"/>
              <w:tr2bl w:val="nil"/>
            </w:tcBorders>
            <w:vAlign w:val="center"/>
          </w:tcPr>
          <w:p w14:paraId="0F526DC8">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18.0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19.9</w:t>
            </w:r>
          </w:p>
        </w:tc>
        <w:tc>
          <w:tcPr>
            <w:tcW w:w="1031" w:type="pct"/>
            <w:tcBorders>
              <w:tl2br w:val="nil"/>
              <w:tr2bl w:val="nil"/>
            </w:tcBorders>
            <w:vAlign w:val="center"/>
          </w:tcPr>
          <w:p w14:paraId="65C9DD1A">
            <w:pPr>
              <w:jc w:val="center"/>
              <w:rPr>
                <w:rFonts w:hint="default" w:asciiTheme="minorEastAsia" w:hAnsiTheme="minorEastAsia" w:cstheme="minorEastAsia"/>
                <w:sz w:val="20"/>
                <w:szCs w:val="20"/>
                <w:highlight w:val="none"/>
                <w:lang w:val="en-US"/>
              </w:rPr>
            </w:pPr>
            <w:r>
              <w:rPr>
                <w:rFonts w:hint="eastAsia" w:asciiTheme="minorEastAsia" w:hAnsiTheme="minorEastAsia" w:cstheme="minorEastAsia"/>
                <w:sz w:val="20"/>
                <w:szCs w:val="20"/>
                <w:highlight w:val="none"/>
              </w:rPr>
              <w:t>0.</w:t>
            </w:r>
            <w:r>
              <w:rPr>
                <w:rFonts w:hint="eastAsia" w:asciiTheme="minorEastAsia" w:hAnsiTheme="minorEastAsia" w:cstheme="minorEastAsia"/>
                <w:sz w:val="20"/>
                <w:szCs w:val="20"/>
                <w:highlight w:val="none"/>
                <w:lang w:val="en-US" w:eastAsia="zh-CN"/>
              </w:rPr>
              <w:t>21</w:t>
            </w:r>
            <w:r>
              <w:rPr>
                <w:rFonts w:hint="eastAsia" w:asciiTheme="minorEastAsia" w:hAnsiTheme="minorEastAsia" w:cstheme="minorEastAsia"/>
                <w:sz w:val="20"/>
                <w:szCs w:val="20"/>
                <w:highlight w:val="none"/>
              </w:rPr>
              <w:t>-0.</w:t>
            </w:r>
            <w:r>
              <w:rPr>
                <w:rFonts w:hint="eastAsia" w:asciiTheme="minorEastAsia" w:hAnsiTheme="minorEastAsia" w:cstheme="minorEastAsia"/>
                <w:sz w:val="20"/>
                <w:szCs w:val="20"/>
                <w:highlight w:val="none"/>
                <w:lang w:val="en-US" w:eastAsia="zh-CN"/>
              </w:rPr>
              <w:t>30</w:t>
            </w:r>
          </w:p>
        </w:tc>
        <w:tc>
          <w:tcPr>
            <w:tcW w:w="778" w:type="pct"/>
            <w:tcBorders>
              <w:tl2br w:val="nil"/>
              <w:tr2bl w:val="nil"/>
            </w:tcBorders>
            <w:shd w:val="clear" w:color="auto" w:fill="auto"/>
            <w:vAlign w:val="center"/>
          </w:tcPr>
          <w:p w14:paraId="0B631BDE">
            <w:pPr>
              <w:jc w:val="center"/>
              <w:rPr>
                <w:rFonts w:asciiTheme="minorEastAsia" w:hAnsiTheme="minorEastAsia" w:cstheme="minorEastAsia"/>
                <w:sz w:val="20"/>
                <w:szCs w:val="20"/>
              </w:rPr>
            </w:pPr>
            <w:r>
              <w:rPr>
                <w:rFonts w:hint="eastAsia" w:asciiTheme="minorEastAsia" w:hAnsiTheme="minorEastAsia" w:cstheme="minorEastAsia"/>
                <w:sz w:val="20"/>
                <w:szCs w:val="20"/>
                <w:lang w:val="en-US" w:eastAsia="zh-CN"/>
              </w:rPr>
              <w:t>55.0</w:t>
            </w: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59</w:t>
            </w:r>
            <w:r>
              <w:rPr>
                <w:rFonts w:hint="eastAsia" w:asciiTheme="minorEastAsia" w:hAnsiTheme="minorEastAsia" w:cstheme="minorEastAsia"/>
                <w:sz w:val="20"/>
                <w:szCs w:val="20"/>
              </w:rPr>
              <w:t>.9</w:t>
            </w:r>
          </w:p>
        </w:tc>
      </w:tr>
      <w:tr w14:paraId="337460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70" w:type="pct"/>
            <w:tcBorders>
              <w:tl2br w:val="nil"/>
              <w:tr2bl w:val="nil"/>
            </w:tcBorders>
            <w:shd w:val="clear" w:color="auto" w:fill="auto"/>
            <w:vAlign w:val="center"/>
          </w:tcPr>
          <w:p w14:paraId="3EA1141A">
            <w:pPr>
              <w:jc w:val="center"/>
              <w:rPr>
                <w:rFonts w:asciiTheme="minorEastAsia" w:hAnsiTheme="minorEastAsia" w:cstheme="minorEastAsia"/>
                <w:sz w:val="20"/>
                <w:szCs w:val="20"/>
              </w:rPr>
            </w:pPr>
            <w:r>
              <w:rPr>
                <w:rFonts w:hint="eastAsia" w:asciiTheme="minorEastAsia" w:hAnsiTheme="minorEastAsia" w:cstheme="minorEastAsia"/>
                <w:sz w:val="20"/>
                <w:szCs w:val="20"/>
              </w:rPr>
              <w:t>20</w:t>
            </w:r>
          </w:p>
        </w:tc>
        <w:tc>
          <w:tcPr>
            <w:tcW w:w="841" w:type="pct"/>
            <w:tcBorders>
              <w:tl2br w:val="nil"/>
              <w:tr2bl w:val="nil"/>
            </w:tcBorders>
            <w:vAlign w:val="center"/>
          </w:tcPr>
          <w:p w14:paraId="623D11C7">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80</w:t>
            </w:r>
            <w:r>
              <w:rPr>
                <w:rFonts w:hint="eastAsia" w:asciiTheme="minorEastAsia" w:hAnsiTheme="minorEastAsia" w:cstheme="minorEastAsia"/>
                <w:sz w:val="20"/>
                <w:szCs w:val="20"/>
              </w:rPr>
              <w:t>.0</w:t>
            </w:r>
          </w:p>
        </w:tc>
        <w:tc>
          <w:tcPr>
            <w:tcW w:w="841" w:type="pct"/>
            <w:tcBorders>
              <w:tl2br w:val="nil"/>
              <w:tr2bl w:val="nil"/>
            </w:tcBorders>
            <w:vAlign w:val="center"/>
          </w:tcPr>
          <w:p w14:paraId="5CEB600E">
            <w:pPr>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90</w:t>
            </w:r>
            <w:r>
              <w:rPr>
                <w:rFonts w:hint="eastAsia" w:asciiTheme="minorEastAsia" w:hAnsiTheme="minorEastAsia" w:cstheme="minorEastAsia"/>
                <w:sz w:val="20"/>
                <w:szCs w:val="20"/>
              </w:rPr>
              <w:t>.0</w:t>
            </w:r>
          </w:p>
        </w:tc>
        <w:tc>
          <w:tcPr>
            <w:tcW w:w="837" w:type="pct"/>
            <w:tcBorders>
              <w:tl2br w:val="nil"/>
              <w:tr2bl w:val="nil"/>
            </w:tcBorders>
            <w:vAlign w:val="center"/>
          </w:tcPr>
          <w:p w14:paraId="57A6FF72">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20.0</w:t>
            </w:r>
          </w:p>
        </w:tc>
        <w:tc>
          <w:tcPr>
            <w:tcW w:w="1031" w:type="pct"/>
            <w:tcBorders>
              <w:tl2br w:val="nil"/>
              <w:tr2bl w:val="nil"/>
            </w:tcBorders>
            <w:vAlign w:val="center"/>
          </w:tcPr>
          <w:p w14:paraId="6F8470CD">
            <w:pPr>
              <w:jc w:val="center"/>
              <w:rPr>
                <w:rFonts w:hint="default" w:asciiTheme="minorEastAsia" w:hAnsiTheme="minorEastAsia" w:cstheme="minorEastAsia"/>
                <w:sz w:val="20"/>
                <w:szCs w:val="20"/>
                <w:highlight w:val="none"/>
                <w:lang w:val="en-US"/>
              </w:rPr>
            </w:pPr>
            <w:r>
              <w:rPr>
                <w:rFonts w:hint="eastAsia" w:asciiTheme="minorEastAsia" w:hAnsiTheme="minorEastAsia" w:cstheme="minorEastAsia"/>
                <w:sz w:val="20"/>
                <w:szCs w:val="20"/>
                <w:highlight w:val="none"/>
              </w:rPr>
              <w:t>≤0</w:t>
            </w:r>
            <w:r>
              <w:rPr>
                <w:rFonts w:hint="eastAsia" w:asciiTheme="minorEastAsia" w:hAnsiTheme="minorEastAsia" w:cstheme="minorEastAsia"/>
                <w:sz w:val="20"/>
                <w:szCs w:val="20"/>
                <w:highlight w:val="none"/>
                <w:lang w:val="en-US" w:eastAsia="zh-CN"/>
              </w:rPr>
              <w:t>.20</w:t>
            </w:r>
          </w:p>
        </w:tc>
        <w:tc>
          <w:tcPr>
            <w:tcW w:w="778" w:type="pct"/>
            <w:tcBorders>
              <w:tl2br w:val="nil"/>
              <w:tr2bl w:val="nil"/>
            </w:tcBorders>
            <w:shd w:val="clear" w:color="auto" w:fill="auto"/>
            <w:vAlign w:val="center"/>
          </w:tcPr>
          <w:p w14:paraId="5D546CBF">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w:t>
            </w:r>
            <w:r>
              <w:rPr>
                <w:rFonts w:hint="eastAsia" w:asciiTheme="minorEastAsia" w:hAnsiTheme="minorEastAsia" w:cstheme="minorEastAsia"/>
                <w:sz w:val="20"/>
                <w:szCs w:val="20"/>
                <w:lang w:val="en-US" w:eastAsia="zh-CN"/>
              </w:rPr>
              <w:t>60.0</w:t>
            </w:r>
          </w:p>
        </w:tc>
      </w:tr>
    </w:tbl>
    <w:p w14:paraId="70B6AE1D">
      <w:pPr>
        <w:rPr>
          <w:rFonts w:asciiTheme="minorEastAsia" w:hAnsiTheme="minorEastAsia" w:cstheme="minorEastAsia"/>
          <w:sz w:val="20"/>
          <w:szCs w:val="20"/>
        </w:rPr>
      </w:pPr>
    </w:p>
    <w:p w14:paraId="0D86BF1F">
      <w:pPr>
        <w:adjustRightInd w:val="0"/>
        <w:snapToGrid w:val="0"/>
        <w:rPr>
          <w:rFonts w:asciiTheme="minorEastAsia" w:hAnsiTheme="minorEastAsia" w:cstheme="minorEastAsia"/>
          <w:sz w:val="20"/>
          <w:szCs w:val="20"/>
        </w:rPr>
      </w:pPr>
    </w:p>
    <w:p w14:paraId="6DD2BD37">
      <w:pPr>
        <w:adjustRightInd w:val="0"/>
        <w:snapToGrid w:val="0"/>
        <w:jc w:val="center"/>
        <w:rPr>
          <w:rFonts w:ascii="仿宋_GB2312" w:hAnsi="仿宋_GB2312" w:eastAsia="仿宋_GB2312" w:cs="仿宋_GB2312"/>
          <w:color w:val="000000"/>
          <w:kern w:val="0"/>
          <w:sz w:val="32"/>
          <w:szCs w:val="32"/>
          <w:lang w:bidi="ar"/>
        </w:rPr>
      </w:pPr>
      <w:r>
        <w:rPr>
          <w:rFonts w:ascii="宋体" w:hAnsi="宋体" w:eastAsia="宋体" w:cs="宋体"/>
          <w:sz w:val="24"/>
          <w:szCs w:val="24"/>
        </w:rPr>
        <w:drawing>
          <wp:inline distT="0" distB="0" distL="114300" distR="114300">
            <wp:extent cx="4219575" cy="2638425"/>
            <wp:effectExtent l="0" t="0" r="9525" b="952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21"/>
                    <a:stretch>
                      <a:fillRect/>
                    </a:stretch>
                  </pic:blipFill>
                  <pic:spPr>
                    <a:xfrm>
                      <a:off x="0" y="0"/>
                      <a:ext cx="4219575" cy="2638425"/>
                    </a:xfrm>
                    <a:prstGeom prst="rect">
                      <a:avLst/>
                    </a:prstGeom>
                    <a:noFill/>
                    <a:ln w="9525">
                      <a:noFill/>
                    </a:ln>
                  </pic:spPr>
                </pic:pic>
              </a:graphicData>
            </a:graphic>
          </wp:inline>
        </w:drawing>
      </w:r>
    </w:p>
    <w:p w14:paraId="77B60E4E">
      <w:pPr>
        <w:jc w:val="center"/>
        <w:rPr>
          <w:rFonts w:hint="eastAsia" w:ascii="黑体" w:hAnsi="黑体" w:eastAsia="黑体" w:cs="黑体"/>
          <w:sz w:val="20"/>
          <w:szCs w:val="20"/>
        </w:rPr>
      </w:pPr>
    </w:p>
    <w:p w14:paraId="47C368D4">
      <w:pPr>
        <w:jc w:val="center"/>
        <w:rPr>
          <w:rFonts w:ascii="黑体" w:hAnsi="黑体" w:eastAsia="黑体" w:cs="黑体"/>
          <w:color w:val="000000"/>
          <w:kern w:val="0"/>
          <w:sz w:val="20"/>
          <w:szCs w:val="20"/>
          <w:lang w:bidi="ar"/>
        </w:rPr>
      </w:pPr>
      <w:r>
        <w:rPr>
          <w:rFonts w:hint="eastAsia" w:ascii="黑体" w:hAnsi="黑体" w:eastAsia="黑体" w:cs="黑体"/>
          <w:sz w:val="20"/>
          <w:szCs w:val="20"/>
        </w:rPr>
        <w:t xml:space="preserve">图A.1  </w:t>
      </w:r>
      <w:r>
        <w:rPr>
          <w:rFonts w:hint="eastAsia" w:ascii="黑体" w:hAnsi="黑体" w:eastAsia="黑体" w:cs="黑体"/>
          <w:sz w:val="20"/>
          <w:szCs w:val="20"/>
          <w:lang w:val="en-US" w:eastAsia="zh-CN"/>
        </w:rPr>
        <w:t>赣南脐橙</w:t>
      </w:r>
      <w:r>
        <w:rPr>
          <w:rFonts w:hint="eastAsia" w:ascii="黑体" w:hAnsi="黑体" w:eastAsia="黑体" w:cs="黑体"/>
          <w:sz w:val="20"/>
          <w:szCs w:val="20"/>
        </w:rPr>
        <w:t>品质雷达图</w:t>
      </w:r>
    </w:p>
    <w:p w14:paraId="2EB4914A">
      <w:pPr>
        <w:ind w:firstLine="12480" w:firstLineChars="3900"/>
        <w:rPr>
          <w:rFonts w:ascii="仿宋_GB2312" w:hAnsi="仿宋_GB2312" w:eastAsia="仿宋_GB2312" w:cs="仿宋_GB2312"/>
          <w:color w:val="000000"/>
          <w:kern w:val="0"/>
          <w:sz w:val="32"/>
          <w:szCs w:val="32"/>
          <w:lang w:bidi="ar"/>
        </w:rPr>
      </w:pPr>
    </w:p>
    <w:p w14:paraId="1B3DEB37">
      <w:pPr>
        <w:pStyle w:val="2"/>
        <w:spacing w:before="0" w:after="0" w:line="240" w:lineRule="auto"/>
      </w:pPr>
      <w:r>
        <mc:AlternateContent>
          <mc:Choice Requires="wps">
            <w:drawing>
              <wp:anchor distT="0" distB="0" distL="114300" distR="114300" simplePos="0" relativeHeight="251659264" behindDoc="0" locked="0" layoutInCell="1" allowOverlap="1">
                <wp:simplePos x="0" y="0"/>
                <wp:positionH relativeFrom="column">
                  <wp:posOffset>2259330</wp:posOffset>
                </wp:positionH>
                <wp:positionV relativeFrom="paragraph">
                  <wp:posOffset>1270</wp:posOffset>
                </wp:positionV>
                <wp:extent cx="1670685" cy="0"/>
                <wp:effectExtent l="0" t="6350" r="0" b="6350"/>
                <wp:wrapNone/>
                <wp:docPr id="3" name="直接连接符 3"/>
                <wp:cNvGraphicFramePr/>
                <a:graphic xmlns:a="http://schemas.openxmlformats.org/drawingml/2006/main">
                  <a:graphicData uri="http://schemas.microsoft.com/office/word/2010/wordprocessingShape">
                    <wps:wsp>
                      <wps:cNvCnPr/>
                      <wps:spPr>
                        <a:xfrm>
                          <a:off x="2927350" y="8126730"/>
                          <a:ext cx="1670685"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77.9pt;margin-top:0.1pt;height:0pt;width:131.55pt;z-index:251659264;mso-width-relative:page;mso-height-relative:page;" filled="f" stroked="t" coordsize="21600,21600" o:gfxdata="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ghGdzNYAAAAFAQAADwAAAAAAAAABACAAAAAiAAAAZHJzL2Rvd25yZXYueG1sUEsBAhQAFAAA&#10;AAgAh07iQIBd/DDxAQAAvgMAAA4AAAAAAAAAAQAgAAAAJQEAAGRycy9lMm9Eb2MueG1sUEsFBgAA&#10;AAAGAAYAWQEAAIgFAAAAAA==&#10;">
                <v:fill on="f" focussize="0,0"/>
                <v:stroke weight="1pt" color="#000000 [3213]" miterlimit="8" joinstyle="miter"/>
                <v:imagedata o:title=""/>
                <o:lock v:ext="edit" aspectratio="f"/>
              </v:line>
            </w:pict>
          </mc:Fallback>
        </mc:AlternateContent>
      </w:r>
    </w:p>
    <w:sectPr>
      <w:headerReference r:id="rId16" w:type="default"/>
      <w:footerReference r:id="rId18" w:type="default"/>
      <w:headerReference r:id="rId17" w:type="even"/>
      <w:footerReference r:id="rId19" w:type="even"/>
      <w:pgSz w:w="11906" w:h="16838"/>
      <w:pgMar w:top="1417" w:right="1080" w:bottom="1417" w:left="108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9FA14">
    <w:pPr>
      <w:pStyle w:val="4"/>
      <w:jc w:val="right"/>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E72E77">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1E72E77">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65DE2">
    <w:pPr>
      <w:pStyle w:val="4"/>
      <w:tabs>
        <w:tab w:val="left" w:pos="223"/>
        <w:tab w:val="clear" w:pos="4153"/>
      </w:tabs>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3F80E0">
                          <w:pPr>
                            <w:pStyle w:val="4"/>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53F80E0">
                    <w:pPr>
                      <w:pStyle w:val="4"/>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0A8B9">
    <w:pPr>
      <w:pStyle w:val="4"/>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B71B88">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4DB71B88">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43B09">
    <w:pPr>
      <w:pStyle w:val="4"/>
      <w:jc w:val="right"/>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34484D">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5534484D">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56546">
    <w:pPr>
      <w:pStyle w:val="4"/>
      <w:tabs>
        <w:tab w:val="left" w:pos="223"/>
        <w:tab w:val="clear" w:pos="4153"/>
      </w:tabs>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26D3BD">
                          <w:pPr>
                            <w:pStyle w:val="4"/>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6226D3BD">
                    <w:pPr>
                      <w:pStyle w:val="4"/>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203C1">
    <w:pPr>
      <w:pStyle w:val="4"/>
      <w:jc w:val="both"/>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1FCED6">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421FCED6">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D3C89">
    <w:pPr>
      <w:pStyle w:val="4"/>
      <w:jc w:val="right"/>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433F7A">
                          <w:pPr>
                            <w:pStyle w:val="4"/>
                            <w:jc w:val="right"/>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1A433F7A">
                    <w:pPr>
                      <w:pStyle w:val="4"/>
                      <w:jc w:val="right"/>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7DED8">
    <w:pPr>
      <w:pStyle w:val="4"/>
      <w:tabs>
        <w:tab w:val="left" w:pos="223"/>
        <w:tab w:val="clear" w:pos="4153"/>
      </w:tabs>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AB37A0">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6AAB37A0">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D73C8">
    <w:pPr>
      <w:jc w:val="right"/>
      <w:rPr>
        <w:rFonts w:ascii="黑体" w:hAnsi="黑体" w:eastAsia="黑体" w:cs="黑体"/>
        <w:sz w:val="20"/>
        <w:szCs w:val="20"/>
      </w:rPr>
    </w:pPr>
  </w:p>
  <w:p w14:paraId="19FBAE3E">
    <w:pPr>
      <w:jc w:val="right"/>
    </w:pPr>
    <w:r>
      <w:rPr>
        <w:rFonts w:hint="eastAsia" w:ascii="黑体" w:hAnsi="黑体" w:eastAsia="黑体" w:cs="黑体"/>
        <w:sz w:val="20"/>
        <w:szCs w:val="20"/>
      </w:rPr>
      <w:t>T/SZNB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DB7B1">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C5C70">
    <w:pPr>
      <w:pStyle w:val="5"/>
    </w:pPr>
  </w:p>
  <w:p w14:paraId="0F1DB82F">
    <w:pPr>
      <w:jc w:val="right"/>
    </w:pPr>
    <w:r>
      <w:rPr>
        <w:rFonts w:hint="eastAsia" w:ascii="黑体" w:hAnsi="黑体" w:eastAsia="黑体" w:cs="黑体"/>
        <w:sz w:val="20"/>
        <w:szCs w:val="20"/>
      </w:rPr>
      <w:t>T/SZNB XXXXX-XXXX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76F10">
    <w:pPr>
      <w:jc w:val="right"/>
      <w:rPr>
        <w:rFonts w:ascii="黑体" w:hAnsi="黑体" w:eastAsia="黑体" w:cs="黑体"/>
        <w:sz w:val="20"/>
        <w:szCs w:val="20"/>
      </w:rPr>
    </w:pPr>
  </w:p>
  <w:p w14:paraId="43288B9F">
    <w:pPr>
      <w:jc w:val="right"/>
      <w:rPr>
        <w:rFonts w:hint="default" w:eastAsia="黑体"/>
        <w:lang w:val="en-US" w:eastAsia="zh-CN"/>
      </w:rPr>
    </w:pPr>
    <w:r>
      <w:rPr>
        <w:rFonts w:hint="eastAsia" w:ascii="黑体" w:hAnsi="黑体" w:eastAsia="黑体" w:cs="黑体"/>
        <w:sz w:val="20"/>
        <w:szCs w:val="20"/>
      </w:rPr>
      <w:t xml:space="preserve">T/SZNB </w:t>
    </w:r>
    <w:r>
      <w:rPr>
        <w:rFonts w:hint="eastAsia" w:ascii="黑体" w:hAnsi="黑体" w:eastAsia="黑体" w:cs="黑体"/>
        <w:sz w:val="20"/>
        <w:szCs w:val="20"/>
        <w:lang w:val="en-US" w:eastAsia="zh-CN"/>
      </w:rPr>
      <w:t>XXX</w:t>
    </w:r>
    <w:r>
      <w:rPr>
        <w:rFonts w:hint="eastAsia" w:ascii="黑体" w:hAnsi="黑体" w:eastAsia="黑体" w:cs="黑体"/>
        <w:sz w:val="20"/>
        <w:szCs w:val="20"/>
      </w:rPr>
      <w:t>-20</w:t>
    </w:r>
    <w:r>
      <w:rPr>
        <w:rFonts w:hint="eastAsia" w:ascii="黑体" w:hAnsi="黑体" w:eastAsia="黑体" w:cs="黑体"/>
        <w:sz w:val="20"/>
        <w:szCs w:val="20"/>
        <w:lang w:val="en-US" w:eastAsia="zh-CN"/>
      </w:rPr>
      <w:t>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26E79">
    <w:pPr>
      <w:pStyle w:val="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6D06">
    <w:pPr>
      <w:pStyle w:val="5"/>
    </w:pPr>
  </w:p>
  <w:p w14:paraId="53E31895">
    <w:pPr>
      <w:jc w:val="right"/>
      <w:rPr>
        <w:rFonts w:hint="default" w:eastAsia="黑体"/>
        <w:lang w:val="en-US" w:eastAsia="zh-CN"/>
      </w:rPr>
    </w:pPr>
    <w:r>
      <w:rPr>
        <w:rFonts w:hint="eastAsia" w:ascii="黑体" w:hAnsi="黑体" w:eastAsia="黑体" w:cs="黑体"/>
        <w:sz w:val="20"/>
        <w:szCs w:val="20"/>
      </w:rPr>
      <w:t xml:space="preserve">T/SZNB </w:t>
    </w:r>
    <w:r>
      <w:rPr>
        <w:rFonts w:hint="eastAsia" w:ascii="黑体" w:hAnsi="黑体" w:eastAsia="黑体" w:cs="黑体"/>
        <w:sz w:val="20"/>
        <w:szCs w:val="20"/>
        <w:lang w:val="en-US" w:eastAsia="zh-CN"/>
      </w:rPr>
      <w:t>XXX</w:t>
    </w:r>
    <w:r>
      <w:rPr>
        <w:rFonts w:hint="eastAsia" w:ascii="黑体" w:hAnsi="黑体" w:eastAsia="黑体" w:cs="黑体"/>
        <w:sz w:val="20"/>
        <w:szCs w:val="20"/>
      </w:rPr>
      <w:t>-20</w:t>
    </w:r>
    <w:r>
      <w:rPr>
        <w:rFonts w:hint="eastAsia" w:ascii="黑体" w:hAnsi="黑体" w:eastAsia="黑体" w:cs="黑体"/>
        <w:sz w:val="20"/>
        <w:szCs w:val="20"/>
        <w:lang w:val="en-US" w:eastAsia="zh-CN"/>
      </w:rPr>
      <w:t>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287E3">
    <w:pPr>
      <w:jc w:val="right"/>
      <w:rPr>
        <w:rFonts w:ascii="黑体" w:hAnsi="黑体" w:eastAsia="黑体" w:cs="黑体"/>
        <w:sz w:val="20"/>
        <w:szCs w:val="20"/>
      </w:rPr>
    </w:pPr>
  </w:p>
  <w:p w14:paraId="5FC594D0">
    <w:pPr>
      <w:jc w:val="left"/>
    </w:pPr>
    <w:r>
      <w:rPr>
        <w:rFonts w:hint="eastAsia" w:ascii="黑体" w:hAnsi="黑体" w:eastAsia="黑体" w:cs="黑体"/>
        <w:sz w:val="20"/>
        <w:szCs w:val="20"/>
      </w:rPr>
      <w:t>T/SZNB XXXXX-XXXX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AC8B3">
    <w:pPr>
      <w:pStyle w:val="5"/>
    </w:pPr>
  </w:p>
  <w:p w14:paraId="2401333C">
    <w:pPr>
      <w:jc w:val="right"/>
      <w:rPr>
        <w:rFonts w:hint="default" w:eastAsia="黑体"/>
        <w:lang w:val="en-US" w:eastAsia="zh-CN"/>
      </w:rPr>
    </w:pPr>
    <w:r>
      <w:rPr>
        <w:rFonts w:hint="eastAsia" w:ascii="黑体" w:hAnsi="黑体" w:eastAsia="黑体" w:cs="黑体"/>
        <w:sz w:val="20"/>
        <w:szCs w:val="20"/>
      </w:rPr>
      <w:t xml:space="preserve">T/SZNB </w:t>
    </w:r>
    <w:r>
      <w:rPr>
        <w:rFonts w:hint="eastAsia" w:ascii="黑体" w:hAnsi="黑体" w:eastAsia="黑体" w:cs="黑体"/>
        <w:sz w:val="20"/>
        <w:szCs w:val="20"/>
        <w:lang w:val="en-US" w:eastAsia="zh-CN"/>
      </w:rPr>
      <w:t>XXX</w:t>
    </w:r>
    <w:r>
      <w:rPr>
        <w:rFonts w:hint="eastAsia" w:ascii="黑体" w:hAnsi="黑体" w:eastAsia="黑体" w:cs="黑体"/>
        <w:sz w:val="20"/>
        <w:szCs w:val="20"/>
      </w:rPr>
      <w:t>-20</w:t>
    </w:r>
    <w:r>
      <w:rPr>
        <w:rFonts w:hint="eastAsia" w:ascii="黑体" w:hAnsi="黑体" w:eastAsia="黑体" w:cs="黑体"/>
        <w:sz w:val="20"/>
        <w:szCs w:val="20"/>
        <w:lang w:val="en-US" w:eastAsia="zh-CN"/>
      </w:rPr>
      <w:t>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21639">
    <w:pPr>
      <w:pStyle w:val="5"/>
    </w:pPr>
  </w:p>
  <w:p w14:paraId="381A5C2A">
    <w:pPr>
      <w:jc w:val="left"/>
      <w:rPr>
        <w:rFonts w:hint="default" w:eastAsia="黑体"/>
        <w:lang w:val="en-US" w:eastAsia="zh-CN"/>
      </w:rPr>
    </w:pPr>
    <w:r>
      <w:rPr>
        <w:rFonts w:hint="eastAsia" w:ascii="黑体" w:hAnsi="黑体" w:eastAsia="黑体" w:cs="黑体"/>
        <w:sz w:val="20"/>
        <w:szCs w:val="20"/>
      </w:rPr>
      <w:t xml:space="preserve">T/SZNB </w:t>
    </w:r>
    <w:r>
      <w:rPr>
        <w:rFonts w:hint="eastAsia" w:ascii="黑体" w:hAnsi="黑体" w:eastAsia="黑体" w:cs="黑体"/>
        <w:sz w:val="20"/>
        <w:szCs w:val="20"/>
        <w:lang w:val="en-US" w:eastAsia="zh-CN"/>
      </w:rPr>
      <w:t>XXX</w:t>
    </w:r>
    <w:r>
      <w:rPr>
        <w:rFonts w:hint="eastAsia" w:ascii="黑体" w:hAnsi="黑体" w:eastAsia="黑体" w:cs="黑体"/>
        <w:sz w:val="20"/>
        <w:szCs w:val="20"/>
      </w:rPr>
      <w:t>-20</w:t>
    </w:r>
    <w:r>
      <w:rPr>
        <w:rFonts w:hint="eastAsia" w:ascii="黑体" w:hAnsi="黑体" w:eastAsia="黑体" w:cs="黑体"/>
        <w:sz w:val="20"/>
        <w:szCs w:val="20"/>
        <w:lang w:val="en-US" w:eastAsia="zh-CN"/>
      </w:rPr>
      <w:t>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hYmMwYjU5NDM0ODllMWY5NzhkZDNlM2E1NzRlNjkifQ=="/>
  </w:docVars>
  <w:rsids>
    <w:rsidRoot w:val="00172A27"/>
    <w:rsid w:val="000F3A98"/>
    <w:rsid w:val="00172A27"/>
    <w:rsid w:val="00203E2F"/>
    <w:rsid w:val="002F4DE2"/>
    <w:rsid w:val="00571DC4"/>
    <w:rsid w:val="00770D88"/>
    <w:rsid w:val="00A3295D"/>
    <w:rsid w:val="00AD1C34"/>
    <w:rsid w:val="00AE52A8"/>
    <w:rsid w:val="00CA1659"/>
    <w:rsid w:val="00D4239C"/>
    <w:rsid w:val="00F44BC2"/>
    <w:rsid w:val="025C7268"/>
    <w:rsid w:val="029F6342"/>
    <w:rsid w:val="02E132C9"/>
    <w:rsid w:val="033C49A3"/>
    <w:rsid w:val="03455F4E"/>
    <w:rsid w:val="03CD6F59"/>
    <w:rsid w:val="03E80687"/>
    <w:rsid w:val="040C6A6B"/>
    <w:rsid w:val="04AE18D1"/>
    <w:rsid w:val="04C609C8"/>
    <w:rsid w:val="051D3F30"/>
    <w:rsid w:val="05594913"/>
    <w:rsid w:val="057F5A7D"/>
    <w:rsid w:val="06071298"/>
    <w:rsid w:val="06B01930"/>
    <w:rsid w:val="06B6498B"/>
    <w:rsid w:val="06C673A5"/>
    <w:rsid w:val="073370C8"/>
    <w:rsid w:val="073F3F10"/>
    <w:rsid w:val="07534FA5"/>
    <w:rsid w:val="0776738C"/>
    <w:rsid w:val="07D16002"/>
    <w:rsid w:val="07DB478B"/>
    <w:rsid w:val="07EC2E3C"/>
    <w:rsid w:val="08114650"/>
    <w:rsid w:val="08272C43"/>
    <w:rsid w:val="0869448C"/>
    <w:rsid w:val="086E1AA3"/>
    <w:rsid w:val="088C1F29"/>
    <w:rsid w:val="08FB21D2"/>
    <w:rsid w:val="0904300C"/>
    <w:rsid w:val="0935436E"/>
    <w:rsid w:val="093745E5"/>
    <w:rsid w:val="095F2C44"/>
    <w:rsid w:val="098552F6"/>
    <w:rsid w:val="098B7284"/>
    <w:rsid w:val="09A950D4"/>
    <w:rsid w:val="09F63B81"/>
    <w:rsid w:val="09FA7544"/>
    <w:rsid w:val="0A8530D4"/>
    <w:rsid w:val="0A8E1FF5"/>
    <w:rsid w:val="0AB22670"/>
    <w:rsid w:val="0AD24BEC"/>
    <w:rsid w:val="0B1F0E32"/>
    <w:rsid w:val="0B2E72C7"/>
    <w:rsid w:val="0B3D575C"/>
    <w:rsid w:val="0B492353"/>
    <w:rsid w:val="0B8564F6"/>
    <w:rsid w:val="0B953A4F"/>
    <w:rsid w:val="0BAA1044"/>
    <w:rsid w:val="0BEF68C2"/>
    <w:rsid w:val="0C086283"/>
    <w:rsid w:val="0C1D5003"/>
    <w:rsid w:val="0C38590F"/>
    <w:rsid w:val="0CC31C91"/>
    <w:rsid w:val="0D931D41"/>
    <w:rsid w:val="0E082052"/>
    <w:rsid w:val="0E2F1600"/>
    <w:rsid w:val="0E563646"/>
    <w:rsid w:val="0E6179B4"/>
    <w:rsid w:val="0E925714"/>
    <w:rsid w:val="0EFB5712"/>
    <w:rsid w:val="0F87169C"/>
    <w:rsid w:val="0FA20891"/>
    <w:rsid w:val="0FB9598F"/>
    <w:rsid w:val="0FED14FF"/>
    <w:rsid w:val="0FFB0C72"/>
    <w:rsid w:val="101B613F"/>
    <w:rsid w:val="104B001D"/>
    <w:rsid w:val="11405FA6"/>
    <w:rsid w:val="11E15093"/>
    <w:rsid w:val="120F7091"/>
    <w:rsid w:val="12413D84"/>
    <w:rsid w:val="126420FA"/>
    <w:rsid w:val="128A3A8D"/>
    <w:rsid w:val="13440CFB"/>
    <w:rsid w:val="13D03611"/>
    <w:rsid w:val="13F60424"/>
    <w:rsid w:val="1417253D"/>
    <w:rsid w:val="1422210F"/>
    <w:rsid w:val="142B0848"/>
    <w:rsid w:val="14410D33"/>
    <w:rsid w:val="144712AE"/>
    <w:rsid w:val="147937A9"/>
    <w:rsid w:val="149A3C1F"/>
    <w:rsid w:val="15572A1D"/>
    <w:rsid w:val="15BB5BFB"/>
    <w:rsid w:val="164073DA"/>
    <w:rsid w:val="164B44B0"/>
    <w:rsid w:val="167C0AF5"/>
    <w:rsid w:val="16AE5B13"/>
    <w:rsid w:val="16CC55AB"/>
    <w:rsid w:val="16DA0303"/>
    <w:rsid w:val="16F733EF"/>
    <w:rsid w:val="1700420E"/>
    <w:rsid w:val="17210F89"/>
    <w:rsid w:val="17391DC5"/>
    <w:rsid w:val="176C163A"/>
    <w:rsid w:val="176F6C9D"/>
    <w:rsid w:val="17EF7DDE"/>
    <w:rsid w:val="18567E5D"/>
    <w:rsid w:val="187077B5"/>
    <w:rsid w:val="187A3B4C"/>
    <w:rsid w:val="187D188E"/>
    <w:rsid w:val="18893D8F"/>
    <w:rsid w:val="18A20777"/>
    <w:rsid w:val="18EC312C"/>
    <w:rsid w:val="19707BCF"/>
    <w:rsid w:val="19971B35"/>
    <w:rsid w:val="19B65058"/>
    <w:rsid w:val="1A1A3838"/>
    <w:rsid w:val="1A367F46"/>
    <w:rsid w:val="1A440C91"/>
    <w:rsid w:val="1A9B1AC5"/>
    <w:rsid w:val="1B08091C"/>
    <w:rsid w:val="1BA3785E"/>
    <w:rsid w:val="1BCD6688"/>
    <w:rsid w:val="1C00080C"/>
    <w:rsid w:val="1C504193"/>
    <w:rsid w:val="1C5E64D9"/>
    <w:rsid w:val="1C872CDB"/>
    <w:rsid w:val="1CB6536F"/>
    <w:rsid w:val="1D1515CB"/>
    <w:rsid w:val="1D2A2354"/>
    <w:rsid w:val="1DC46334"/>
    <w:rsid w:val="1E2C658F"/>
    <w:rsid w:val="1E935967"/>
    <w:rsid w:val="1E9A6CF6"/>
    <w:rsid w:val="1EAB0F03"/>
    <w:rsid w:val="1EB76E7B"/>
    <w:rsid w:val="1ED57D2E"/>
    <w:rsid w:val="1EFF2FFD"/>
    <w:rsid w:val="1FC61D6D"/>
    <w:rsid w:val="1FEE5E20"/>
    <w:rsid w:val="20983709"/>
    <w:rsid w:val="20990E39"/>
    <w:rsid w:val="20B63B8F"/>
    <w:rsid w:val="20BC7603"/>
    <w:rsid w:val="210922D5"/>
    <w:rsid w:val="213F0E29"/>
    <w:rsid w:val="21436CCA"/>
    <w:rsid w:val="2217065D"/>
    <w:rsid w:val="22172BBE"/>
    <w:rsid w:val="22230DB0"/>
    <w:rsid w:val="223C00C4"/>
    <w:rsid w:val="223E45F2"/>
    <w:rsid w:val="22550BDA"/>
    <w:rsid w:val="225D758A"/>
    <w:rsid w:val="22602004"/>
    <w:rsid w:val="227855A0"/>
    <w:rsid w:val="23750F37"/>
    <w:rsid w:val="23DE58D7"/>
    <w:rsid w:val="23E97DD8"/>
    <w:rsid w:val="243454F7"/>
    <w:rsid w:val="24D80A66"/>
    <w:rsid w:val="25247D9C"/>
    <w:rsid w:val="254026D2"/>
    <w:rsid w:val="26014112"/>
    <w:rsid w:val="26775B6F"/>
    <w:rsid w:val="2698203F"/>
    <w:rsid w:val="26A12BEB"/>
    <w:rsid w:val="26BC5523"/>
    <w:rsid w:val="26D46B1D"/>
    <w:rsid w:val="26F61189"/>
    <w:rsid w:val="270A0791"/>
    <w:rsid w:val="27266B8C"/>
    <w:rsid w:val="275D6B12"/>
    <w:rsid w:val="27644471"/>
    <w:rsid w:val="27DD1A0C"/>
    <w:rsid w:val="28041AB6"/>
    <w:rsid w:val="2858291B"/>
    <w:rsid w:val="28E47092"/>
    <w:rsid w:val="290D6316"/>
    <w:rsid w:val="293012EB"/>
    <w:rsid w:val="293D6BFB"/>
    <w:rsid w:val="29995DFC"/>
    <w:rsid w:val="2A17569E"/>
    <w:rsid w:val="2B073965"/>
    <w:rsid w:val="2B3C0B26"/>
    <w:rsid w:val="2C370A84"/>
    <w:rsid w:val="2C5F50DB"/>
    <w:rsid w:val="2C9156BC"/>
    <w:rsid w:val="2CA553C6"/>
    <w:rsid w:val="2CD37E34"/>
    <w:rsid w:val="2CE12DB7"/>
    <w:rsid w:val="2D426ED6"/>
    <w:rsid w:val="2D5A48FF"/>
    <w:rsid w:val="2D5A729F"/>
    <w:rsid w:val="2D960FD0"/>
    <w:rsid w:val="2DA729FE"/>
    <w:rsid w:val="2DE00249"/>
    <w:rsid w:val="2E7F1A64"/>
    <w:rsid w:val="2EBD1ECE"/>
    <w:rsid w:val="2F473916"/>
    <w:rsid w:val="2F5E78CC"/>
    <w:rsid w:val="2FC811E9"/>
    <w:rsid w:val="2FEF2C1A"/>
    <w:rsid w:val="30123BB6"/>
    <w:rsid w:val="30167D2B"/>
    <w:rsid w:val="30227AED"/>
    <w:rsid w:val="30637A5C"/>
    <w:rsid w:val="308333A6"/>
    <w:rsid w:val="30F1651D"/>
    <w:rsid w:val="317A57A7"/>
    <w:rsid w:val="31A16195"/>
    <w:rsid w:val="31BB7257"/>
    <w:rsid w:val="31FB0FAC"/>
    <w:rsid w:val="32325077"/>
    <w:rsid w:val="32385C4C"/>
    <w:rsid w:val="32837435"/>
    <w:rsid w:val="3294550E"/>
    <w:rsid w:val="33557238"/>
    <w:rsid w:val="33745910"/>
    <w:rsid w:val="33F72C59"/>
    <w:rsid w:val="3402116D"/>
    <w:rsid w:val="347708FD"/>
    <w:rsid w:val="348363C8"/>
    <w:rsid w:val="34CD7BB4"/>
    <w:rsid w:val="34D13403"/>
    <w:rsid w:val="35415CC5"/>
    <w:rsid w:val="355D635D"/>
    <w:rsid w:val="356C2617"/>
    <w:rsid w:val="358F3D18"/>
    <w:rsid w:val="35C04BE3"/>
    <w:rsid w:val="36EA5A89"/>
    <w:rsid w:val="375872F6"/>
    <w:rsid w:val="384D2BD3"/>
    <w:rsid w:val="38743CBC"/>
    <w:rsid w:val="387A2A97"/>
    <w:rsid w:val="38D64977"/>
    <w:rsid w:val="38D94467"/>
    <w:rsid w:val="391C6B43"/>
    <w:rsid w:val="393D76CF"/>
    <w:rsid w:val="39735CA1"/>
    <w:rsid w:val="39AA6850"/>
    <w:rsid w:val="3A687720"/>
    <w:rsid w:val="3A756FBA"/>
    <w:rsid w:val="3ADE5BFC"/>
    <w:rsid w:val="3BBE02A1"/>
    <w:rsid w:val="3BDF1D94"/>
    <w:rsid w:val="3C26517B"/>
    <w:rsid w:val="3C9708C1"/>
    <w:rsid w:val="3CBB481E"/>
    <w:rsid w:val="3CBE1501"/>
    <w:rsid w:val="3CCF1E09"/>
    <w:rsid w:val="3D2739F3"/>
    <w:rsid w:val="3D5C3A0F"/>
    <w:rsid w:val="3D673DEF"/>
    <w:rsid w:val="3DBA6A6E"/>
    <w:rsid w:val="3DBF4698"/>
    <w:rsid w:val="3E111FAD"/>
    <w:rsid w:val="3E285C74"/>
    <w:rsid w:val="3E921340"/>
    <w:rsid w:val="3EB412B6"/>
    <w:rsid w:val="3ECD6BDA"/>
    <w:rsid w:val="3EED2ADA"/>
    <w:rsid w:val="3F9609BC"/>
    <w:rsid w:val="3F9B06C8"/>
    <w:rsid w:val="3FA95193"/>
    <w:rsid w:val="3FB377C0"/>
    <w:rsid w:val="3FD47738"/>
    <w:rsid w:val="40512B35"/>
    <w:rsid w:val="405D597D"/>
    <w:rsid w:val="406311E6"/>
    <w:rsid w:val="407C2437"/>
    <w:rsid w:val="40925627"/>
    <w:rsid w:val="40A640F5"/>
    <w:rsid w:val="40C1415E"/>
    <w:rsid w:val="411C1395"/>
    <w:rsid w:val="41B80A98"/>
    <w:rsid w:val="41BE671B"/>
    <w:rsid w:val="42117C6C"/>
    <w:rsid w:val="4255690C"/>
    <w:rsid w:val="425A2175"/>
    <w:rsid w:val="426223B3"/>
    <w:rsid w:val="42E934F8"/>
    <w:rsid w:val="432C21B7"/>
    <w:rsid w:val="43B44D4F"/>
    <w:rsid w:val="43D10ED3"/>
    <w:rsid w:val="44466E54"/>
    <w:rsid w:val="444A7FC7"/>
    <w:rsid w:val="449C1EAE"/>
    <w:rsid w:val="459679F1"/>
    <w:rsid w:val="467A3826"/>
    <w:rsid w:val="46B34549"/>
    <w:rsid w:val="46B86179"/>
    <w:rsid w:val="47A65E5C"/>
    <w:rsid w:val="47CC7DCE"/>
    <w:rsid w:val="47DE73A4"/>
    <w:rsid w:val="47E95008"/>
    <w:rsid w:val="48523E82"/>
    <w:rsid w:val="48F618EF"/>
    <w:rsid w:val="4933371F"/>
    <w:rsid w:val="49562CA4"/>
    <w:rsid w:val="49627B61"/>
    <w:rsid w:val="4978536C"/>
    <w:rsid w:val="497E0E3E"/>
    <w:rsid w:val="49F20EE5"/>
    <w:rsid w:val="4A743FEF"/>
    <w:rsid w:val="4AB10DA0"/>
    <w:rsid w:val="4ACD66C3"/>
    <w:rsid w:val="4AD4683C"/>
    <w:rsid w:val="4AE42F23"/>
    <w:rsid w:val="4B4340EE"/>
    <w:rsid w:val="4B8A2450"/>
    <w:rsid w:val="4B8B339F"/>
    <w:rsid w:val="4BA33E21"/>
    <w:rsid w:val="4BC74904"/>
    <w:rsid w:val="4C162B64"/>
    <w:rsid w:val="4C561BFF"/>
    <w:rsid w:val="4CAA5AA7"/>
    <w:rsid w:val="4CE31FB9"/>
    <w:rsid w:val="4D041134"/>
    <w:rsid w:val="4DC1579E"/>
    <w:rsid w:val="4DD10233"/>
    <w:rsid w:val="4DE66FB2"/>
    <w:rsid w:val="4E12415A"/>
    <w:rsid w:val="4E140DE4"/>
    <w:rsid w:val="4E7C16C5"/>
    <w:rsid w:val="4E847587"/>
    <w:rsid w:val="4E9E6CEF"/>
    <w:rsid w:val="4F307CC2"/>
    <w:rsid w:val="4F455F5A"/>
    <w:rsid w:val="4F6665FD"/>
    <w:rsid w:val="4F756840"/>
    <w:rsid w:val="4F764366"/>
    <w:rsid w:val="4F9F566B"/>
    <w:rsid w:val="501F02D8"/>
    <w:rsid w:val="50281945"/>
    <w:rsid w:val="50632B3C"/>
    <w:rsid w:val="50AD7FE8"/>
    <w:rsid w:val="512F6EC2"/>
    <w:rsid w:val="51A056CA"/>
    <w:rsid w:val="52102850"/>
    <w:rsid w:val="52AA0987"/>
    <w:rsid w:val="52D262CE"/>
    <w:rsid w:val="52D95337"/>
    <w:rsid w:val="52E8647A"/>
    <w:rsid w:val="52E8656E"/>
    <w:rsid w:val="52FD2A91"/>
    <w:rsid w:val="533662E6"/>
    <w:rsid w:val="53690E2A"/>
    <w:rsid w:val="53A019B1"/>
    <w:rsid w:val="53D8114B"/>
    <w:rsid w:val="53E619C7"/>
    <w:rsid w:val="54104D89"/>
    <w:rsid w:val="546A2443"/>
    <w:rsid w:val="54B35714"/>
    <w:rsid w:val="55034806"/>
    <w:rsid w:val="5507618C"/>
    <w:rsid w:val="550D249D"/>
    <w:rsid w:val="5536081F"/>
    <w:rsid w:val="559C3632"/>
    <w:rsid w:val="55EA33B8"/>
    <w:rsid w:val="560A5808"/>
    <w:rsid w:val="56603EC0"/>
    <w:rsid w:val="56692FD1"/>
    <w:rsid w:val="56764C4B"/>
    <w:rsid w:val="567C6706"/>
    <w:rsid w:val="56946011"/>
    <w:rsid w:val="57454D4A"/>
    <w:rsid w:val="579932E7"/>
    <w:rsid w:val="579C4AA3"/>
    <w:rsid w:val="57C15E98"/>
    <w:rsid w:val="57E47724"/>
    <w:rsid w:val="57FF75EE"/>
    <w:rsid w:val="580A5802"/>
    <w:rsid w:val="580C6CA6"/>
    <w:rsid w:val="583A23D4"/>
    <w:rsid w:val="58654F91"/>
    <w:rsid w:val="588875E4"/>
    <w:rsid w:val="58C44394"/>
    <w:rsid w:val="58D95E36"/>
    <w:rsid w:val="58FC3B2E"/>
    <w:rsid w:val="595F6A27"/>
    <w:rsid w:val="596516D3"/>
    <w:rsid w:val="597C1377"/>
    <w:rsid w:val="59AF2EAE"/>
    <w:rsid w:val="5A0233C6"/>
    <w:rsid w:val="5A9D6C4B"/>
    <w:rsid w:val="5AB96C8E"/>
    <w:rsid w:val="5B300A18"/>
    <w:rsid w:val="5B876AF2"/>
    <w:rsid w:val="5BFE3533"/>
    <w:rsid w:val="5C547B1B"/>
    <w:rsid w:val="5C7D31D8"/>
    <w:rsid w:val="5C830943"/>
    <w:rsid w:val="5D795DB7"/>
    <w:rsid w:val="5E2B6979"/>
    <w:rsid w:val="5E3E6996"/>
    <w:rsid w:val="5E7B0C19"/>
    <w:rsid w:val="5EB64043"/>
    <w:rsid w:val="5EE61D7E"/>
    <w:rsid w:val="5EEE35E5"/>
    <w:rsid w:val="5F10541D"/>
    <w:rsid w:val="5F710660"/>
    <w:rsid w:val="5F7335FB"/>
    <w:rsid w:val="5F9A1497"/>
    <w:rsid w:val="5FF612D7"/>
    <w:rsid w:val="5FFE0D48"/>
    <w:rsid w:val="60136C47"/>
    <w:rsid w:val="60B006FE"/>
    <w:rsid w:val="60BE683A"/>
    <w:rsid w:val="60CE4002"/>
    <w:rsid w:val="60F43F81"/>
    <w:rsid w:val="612C2AD6"/>
    <w:rsid w:val="61357BDD"/>
    <w:rsid w:val="6162474A"/>
    <w:rsid w:val="616B3D62"/>
    <w:rsid w:val="619856F0"/>
    <w:rsid w:val="61E810F3"/>
    <w:rsid w:val="61F656FB"/>
    <w:rsid w:val="621D5D72"/>
    <w:rsid w:val="625F6BA1"/>
    <w:rsid w:val="626A656C"/>
    <w:rsid w:val="62713F31"/>
    <w:rsid w:val="629209C1"/>
    <w:rsid w:val="62DA75ED"/>
    <w:rsid w:val="62F045A5"/>
    <w:rsid w:val="63062529"/>
    <w:rsid w:val="631B2E02"/>
    <w:rsid w:val="632D094A"/>
    <w:rsid w:val="63340D40"/>
    <w:rsid w:val="635F53E5"/>
    <w:rsid w:val="63752C43"/>
    <w:rsid w:val="638F7399"/>
    <w:rsid w:val="63953DDD"/>
    <w:rsid w:val="64925346"/>
    <w:rsid w:val="64A84B6A"/>
    <w:rsid w:val="65271F32"/>
    <w:rsid w:val="653A7EB8"/>
    <w:rsid w:val="65566374"/>
    <w:rsid w:val="65605ADC"/>
    <w:rsid w:val="65F8567D"/>
    <w:rsid w:val="65FF07B9"/>
    <w:rsid w:val="661F1263"/>
    <w:rsid w:val="66212E26"/>
    <w:rsid w:val="662A68D5"/>
    <w:rsid w:val="662B7800"/>
    <w:rsid w:val="66320B8F"/>
    <w:rsid w:val="664E34EF"/>
    <w:rsid w:val="665E1167"/>
    <w:rsid w:val="666B40A1"/>
    <w:rsid w:val="6694184A"/>
    <w:rsid w:val="66D63C10"/>
    <w:rsid w:val="67784CC7"/>
    <w:rsid w:val="6785559A"/>
    <w:rsid w:val="67917B37"/>
    <w:rsid w:val="67EC1211"/>
    <w:rsid w:val="67FD40E6"/>
    <w:rsid w:val="68242759"/>
    <w:rsid w:val="683A7D85"/>
    <w:rsid w:val="68480CB8"/>
    <w:rsid w:val="689F5992"/>
    <w:rsid w:val="68A11FFC"/>
    <w:rsid w:val="68A815DC"/>
    <w:rsid w:val="68B85F0B"/>
    <w:rsid w:val="68D75A1D"/>
    <w:rsid w:val="68EF2D67"/>
    <w:rsid w:val="69386049"/>
    <w:rsid w:val="6A5247FE"/>
    <w:rsid w:val="6A97281C"/>
    <w:rsid w:val="6AA77490"/>
    <w:rsid w:val="6B0C3838"/>
    <w:rsid w:val="6B19231D"/>
    <w:rsid w:val="6BDF3567"/>
    <w:rsid w:val="6C04688D"/>
    <w:rsid w:val="6C3C4515"/>
    <w:rsid w:val="6C861C34"/>
    <w:rsid w:val="6CD50FE0"/>
    <w:rsid w:val="6D210722"/>
    <w:rsid w:val="6D6A50B2"/>
    <w:rsid w:val="6D6D06FE"/>
    <w:rsid w:val="6DCF13B9"/>
    <w:rsid w:val="6E361438"/>
    <w:rsid w:val="6E435810"/>
    <w:rsid w:val="6E647D53"/>
    <w:rsid w:val="6E9F3217"/>
    <w:rsid w:val="6EB507F9"/>
    <w:rsid w:val="6EBB7AAC"/>
    <w:rsid w:val="6EBE3907"/>
    <w:rsid w:val="6EFA1907"/>
    <w:rsid w:val="6F42234A"/>
    <w:rsid w:val="6F5778B8"/>
    <w:rsid w:val="703B4AE4"/>
    <w:rsid w:val="704E4817"/>
    <w:rsid w:val="707324D0"/>
    <w:rsid w:val="707B2F94"/>
    <w:rsid w:val="70DB7549"/>
    <w:rsid w:val="70E74A80"/>
    <w:rsid w:val="71242CE0"/>
    <w:rsid w:val="71ED62B2"/>
    <w:rsid w:val="71FC02A3"/>
    <w:rsid w:val="72021D5D"/>
    <w:rsid w:val="7293137D"/>
    <w:rsid w:val="72F1019B"/>
    <w:rsid w:val="73245D03"/>
    <w:rsid w:val="732F29F0"/>
    <w:rsid w:val="73852C46"/>
    <w:rsid w:val="73F1776E"/>
    <w:rsid w:val="746F2FAE"/>
    <w:rsid w:val="74DF0134"/>
    <w:rsid w:val="75071439"/>
    <w:rsid w:val="76263B40"/>
    <w:rsid w:val="7645046A"/>
    <w:rsid w:val="764741E2"/>
    <w:rsid w:val="76515061"/>
    <w:rsid w:val="76D90BB3"/>
    <w:rsid w:val="773521BD"/>
    <w:rsid w:val="77B265EF"/>
    <w:rsid w:val="77BC29AE"/>
    <w:rsid w:val="77D726AA"/>
    <w:rsid w:val="78324A1E"/>
    <w:rsid w:val="787119EB"/>
    <w:rsid w:val="78B4669B"/>
    <w:rsid w:val="798017B9"/>
    <w:rsid w:val="79BE766A"/>
    <w:rsid w:val="79CE69C9"/>
    <w:rsid w:val="79F93A46"/>
    <w:rsid w:val="7A150154"/>
    <w:rsid w:val="7A205476"/>
    <w:rsid w:val="7A707A80"/>
    <w:rsid w:val="7A807CC3"/>
    <w:rsid w:val="7A92650D"/>
    <w:rsid w:val="7A983B8E"/>
    <w:rsid w:val="7A9F2A21"/>
    <w:rsid w:val="7AEE7323"/>
    <w:rsid w:val="7B560A24"/>
    <w:rsid w:val="7B595909"/>
    <w:rsid w:val="7B86755B"/>
    <w:rsid w:val="7BA23C69"/>
    <w:rsid w:val="7BCC0CE6"/>
    <w:rsid w:val="7C2B0625"/>
    <w:rsid w:val="7C8E41ED"/>
    <w:rsid w:val="7D0851CF"/>
    <w:rsid w:val="7D5D078F"/>
    <w:rsid w:val="7D6E602A"/>
    <w:rsid w:val="7D9677FD"/>
    <w:rsid w:val="7E4D25B2"/>
    <w:rsid w:val="7ED07AA4"/>
    <w:rsid w:val="7ED122C0"/>
    <w:rsid w:val="7ED85951"/>
    <w:rsid w:val="7F0C5FC9"/>
    <w:rsid w:val="7F60744D"/>
    <w:rsid w:val="7F9C7CF1"/>
    <w:rsid w:val="7F9E0BEB"/>
    <w:rsid w:val="7FAE0E2E"/>
    <w:rsid w:val="7FBF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Normal (Web)"/>
    <w:basedOn w:val="1"/>
    <w:qFormat/>
    <w:uiPriority w:val="0"/>
    <w:rPr>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WPSOffice手动目录 1"/>
    <w:qFormat/>
    <w:uiPriority w:val="0"/>
    <w:rPr>
      <w:rFonts w:asciiTheme="minorHAnsi" w:hAnsiTheme="minorHAnsi" w:eastAsiaTheme="minorEastAsia" w:cstheme="minorBidi"/>
      <w:lang w:val="en-US" w:eastAsia="zh-CN" w:bidi="ar-SA"/>
    </w:rPr>
  </w:style>
  <w:style w:type="character" w:customStyle="1" w:styleId="12">
    <w:name w:val="批注框文本 Char"/>
    <w:basedOn w:val="10"/>
    <w:link w:val="3"/>
    <w:qFormat/>
    <w:uiPriority w:val="0"/>
    <w:rPr>
      <w:rFonts w:asciiTheme="minorHAnsi" w:hAnsiTheme="minorHAnsi" w:eastAsiaTheme="minorEastAsia" w:cstheme="minorBidi"/>
      <w:kern w:val="2"/>
      <w:sz w:val="18"/>
      <w:szCs w:val="18"/>
    </w:rPr>
  </w:style>
  <w:style w:type="paragraph" w:customStyle="1" w:styleId="13">
    <w:name w:val="段"/>
    <w:link w:val="1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4">
    <w:name w:val="段 Char"/>
    <w:link w:val="13"/>
    <w:qFormat/>
    <w:uiPriority w:val="0"/>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987</Words>
  <Characters>1235</Characters>
  <Lines>30</Lines>
  <Paragraphs>8</Paragraphs>
  <TotalTime>1</TotalTime>
  <ScaleCrop>false</ScaleCrop>
  <LinksUpToDate>false</LinksUpToDate>
  <CharactersWithSpaces>1609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2024-09-27T06:53:00Z</dcterms:created>
  <dc:creator>Fafa</dc:creator>
  <cp:lastModifiedBy>磐涅1394079852</cp:lastModifiedBy>
  <cp:lastPrinted>2024-10-22T00:16:00Z</cp:lastPrinted>
  <dcterms:modified xsi:type="dcterms:W3CDTF">2025-08-26T01:38:11Z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B3761C0A8AA64BB39F41A10EFD367E2D_13</vt:lpwstr>
  </property>
  <property fmtid="{D5CDD505-2E9C-101B-9397-08002B2CF9AE}" pid="4" name="KSOTemplateDocerSaveRecord">
    <vt:lpwstr>eyJoZGlkIjoiZjNhMWZiZjQ4YTFjMmFiYmM5OTAzMDJmZjc3NTQyZGUiLCJ1c2VySWQiOiIxMjE1NTAyNSJ9</vt:lpwstr>
  </property>
</Properties>
</file>